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B12988">
        <w:rPr>
          <w:rFonts w:ascii="Times New Roman" w:eastAsia="標楷體" w:hAnsi="標楷體" w:hint="eastAsia"/>
          <w:b/>
          <w:sz w:val="32"/>
          <w:szCs w:val="32"/>
        </w:rPr>
        <w:t>中程</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291"/>
        <w:gridCol w:w="4465"/>
      </w:tblGrid>
      <w:tr w:rsidR="005154D4" w:rsidRPr="001C1E24" w:rsidTr="00C90F50">
        <w:trPr>
          <w:trHeight w:val="567"/>
          <w:jc w:val="center"/>
        </w:trPr>
        <w:tc>
          <w:tcPr>
            <w:tcW w:w="1364" w:type="dxa"/>
            <w:tcBorders>
              <w:top w:val="single" w:sz="12" w:space="0" w:color="auto"/>
              <w:left w:val="single" w:sz="12" w:space="0" w:color="auto"/>
            </w:tcBorders>
            <w:shd w:val="clear" w:color="auto" w:fill="auto"/>
            <w:vAlign w:val="center"/>
          </w:tcPr>
          <w:p w:rsidR="005154D4" w:rsidRDefault="00B12988"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子計畫</w:t>
            </w:r>
          </w:p>
        </w:tc>
        <w:tc>
          <w:tcPr>
            <w:tcW w:w="8756" w:type="dxa"/>
            <w:gridSpan w:val="2"/>
            <w:tcBorders>
              <w:top w:val="single" w:sz="12" w:space="0" w:color="auto"/>
              <w:right w:val="single" w:sz="12" w:space="0" w:color="auto"/>
            </w:tcBorders>
            <w:shd w:val="clear" w:color="auto" w:fill="auto"/>
            <w:vAlign w:val="center"/>
          </w:tcPr>
          <w:p w:rsidR="005154D4" w:rsidRPr="00A97F70" w:rsidRDefault="00044B24" w:rsidP="00751A12">
            <w:pPr>
              <w:ind w:left="360" w:hanging="240"/>
              <w:jc w:val="both"/>
              <w:rPr>
                <w:rFonts w:ascii="Times New Roman" w:eastAsia="標楷體" w:hAnsi="Times New Roman"/>
                <w:szCs w:val="24"/>
              </w:rPr>
            </w:pPr>
            <w:r>
              <w:rPr>
                <w:rFonts w:ascii="Times New Roman" w:eastAsia="標楷體" w:hAnsi="Times New Roman"/>
                <w:kern w:val="0"/>
                <w:szCs w:val="24"/>
              </w:rPr>
              <w:t xml:space="preserve">B3-1 </w:t>
            </w:r>
            <w:r>
              <w:rPr>
                <w:rFonts w:ascii="Times New Roman" w:eastAsia="標楷體" w:hAnsi="Times New Roman" w:hint="eastAsia"/>
                <w:kern w:val="0"/>
                <w:szCs w:val="24"/>
              </w:rPr>
              <w:t>應用數位科技資訊，形塑</w:t>
            </w:r>
            <w:r>
              <w:rPr>
                <w:rFonts w:ascii="Times New Roman" w:eastAsia="標楷體" w:hAnsi="Times New Roman"/>
                <w:kern w:val="0"/>
                <w:szCs w:val="24"/>
              </w:rPr>
              <w:t>FINTECH</w:t>
            </w:r>
            <w:r>
              <w:rPr>
                <w:rFonts w:ascii="Times New Roman" w:eastAsia="標楷體" w:hAnsi="Times New Roman" w:hint="eastAsia"/>
                <w:kern w:val="0"/>
                <w:szCs w:val="24"/>
              </w:rPr>
              <w:t>專業人才</w:t>
            </w:r>
          </w:p>
        </w:tc>
      </w:tr>
      <w:tr w:rsidR="00B12988" w:rsidRPr="001C1E24" w:rsidTr="00C90F50">
        <w:trPr>
          <w:trHeight w:val="567"/>
          <w:jc w:val="center"/>
        </w:trPr>
        <w:tc>
          <w:tcPr>
            <w:tcW w:w="1364" w:type="dxa"/>
            <w:tcBorders>
              <w:top w:val="single" w:sz="12" w:space="0" w:color="auto"/>
              <w:left w:val="single" w:sz="12" w:space="0" w:color="auto"/>
            </w:tcBorders>
            <w:shd w:val="clear" w:color="auto" w:fill="auto"/>
            <w:vAlign w:val="center"/>
          </w:tcPr>
          <w:p w:rsidR="00B12988" w:rsidRDefault="00B12988" w:rsidP="00B12988">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756" w:type="dxa"/>
            <w:gridSpan w:val="2"/>
            <w:tcBorders>
              <w:top w:val="single" w:sz="12" w:space="0" w:color="auto"/>
              <w:right w:val="single" w:sz="12" w:space="0" w:color="auto"/>
            </w:tcBorders>
            <w:shd w:val="clear" w:color="auto" w:fill="auto"/>
            <w:vAlign w:val="center"/>
          </w:tcPr>
          <w:p w:rsidR="00B12988" w:rsidRPr="00A97F70" w:rsidRDefault="00B12988" w:rsidP="00B12988">
            <w:pPr>
              <w:ind w:left="360" w:hanging="240"/>
              <w:jc w:val="both"/>
              <w:rPr>
                <w:rFonts w:ascii="Times New Roman" w:eastAsia="標楷體" w:hAnsi="Times New Roman"/>
                <w:szCs w:val="24"/>
              </w:rPr>
            </w:pPr>
            <w:r>
              <w:rPr>
                <w:rFonts w:ascii="標楷體" w:eastAsia="標楷體" w:hAnsi="標楷體" w:hint="eastAsia"/>
                <w:szCs w:val="24"/>
              </w:rPr>
              <w:t>透過專題演講帶給在校生更多實務經驗</w:t>
            </w:r>
          </w:p>
        </w:tc>
      </w:tr>
      <w:tr w:rsidR="00B12988" w:rsidRPr="001C1E24" w:rsidTr="00C90F50">
        <w:trPr>
          <w:trHeight w:val="567"/>
          <w:jc w:val="center"/>
        </w:trPr>
        <w:tc>
          <w:tcPr>
            <w:tcW w:w="1364" w:type="dxa"/>
            <w:tcBorders>
              <w:top w:val="single" w:sz="4" w:space="0" w:color="auto"/>
              <w:left w:val="single" w:sz="12" w:space="0" w:color="auto"/>
            </w:tcBorders>
            <w:shd w:val="clear" w:color="auto" w:fill="auto"/>
            <w:vAlign w:val="center"/>
          </w:tcPr>
          <w:p w:rsidR="00B12988" w:rsidRPr="00CD6B06" w:rsidRDefault="00B12988" w:rsidP="00B12988">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756" w:type="dxa"/>
            <w:gridSpan w:val="2"/>
            <w:tcBorders>
              <w:top w:val="single" w:sz="4" w:space="0" w:color="auto"/>
              <w:right w:val="single" w:sz="12" w:space="0" w:color="auto"/>
            </w:tcBorders>
            <w:shd w:val="clear" w:color="auto" w:fill="auto"/>
            <w:vAlign w:val="center"/>
          </w:tcPr>
          <w:p w:rsidR="00B12988" w:rsidRPr="00BC0113" w:rsidRDefault="00B12988" w:rsidP="00D56685">
            <w:pPr>
              <w:ind w:left="360" w:hanging="240"/>
              <w:rPr>
                <w:rFonts w:ascii="Times New Roman" w:eastAsia="標楷體" w:hAnsi="Times New Roman"/>
                <w:szCs w:val="24"/>
              </w:rPr>
            </w:pPr>
            <w:r>
              <w:rPr>
                <w:rFonts w:ascii="Times New Roman" w:eastAsia="標楷體" w:hAnsi="Times New Roman" w:hint="eastAsia"/>
                <w:szCs w:val="24"/>
              </w:rPr>
              <w:t>專題演講</w:t>
            </w:r>
            <w:r>
              <w:rPr>
                <w:rFonts w:ascii="Times New Roman" w:eastAsia="標楷體" w:hAnsi="Times New Roman" w:hint="eastAsia"/>
                <w:szCs w:val="24"/>
              </w:rPr>
              <w:t>-</w:t>
            </w:r>
            <w:r w:rsidR="00D56685">
              <w:rPr>
                <w:rFonts w:ascii="Times New Roman" w:eastAsia="標楷體" w:hAnsi="Times New Roman" w:hint="eastAsia"/>
                <w:szCs w:val="24"/>
              </w:rPr>
              <w:t>陳昀琳</w:t>
            </w:r>
            <w:r w:rsidR="00BC0113">
              <w:rPr>
                <w:rFonts w:ascii="Times New Roman" w:eastAsia="標楷體" w:hAnsi="Times New Roman" w:hint="eastAsia"/>
                <w:szCs w:val="24"/>
              </w:rPr>
              <w:t>老師</w:t>
            </w:r>
            <w:r w:rsidR="00725196">
              <w:rPr>
                <w:rFonts w:ascii="Times New Roman" w:eastAsia="標楷體" w:hAnsi="Times New Roman" w:hint="eastAsia"/>
                <w:szCs w:val="24"/>
              </w:rPr>
              <w:t>-</w:t>
            </w:r>
            <w:bookmarkStart w:id="0" w:name="_GoBack"/>
            <w:r w:rsidR="00D56685">
              <w:rPr>
                <w:rFonts w:ascii="Times New Roman" w:eastAsia="標楷體" w:hAnsi="標楷體" w:cs="Times New Roman" w:hint="eastAsia"/>
                <w:szCs w:val="24"/>
              </w:rPr>
              <w:t>投資決策分析</w:t>
            </w:r>
            <w:bookmarkEnd w:id="0"/>
          </w:p>
        </w:tc>
      </w:tr>
      <w:tr w:rsidR="00B12988" w:rsidRPr="001C1E24" w:rsidTr="00C90F50">
        <w:trPr>
          <w:trHeight w:val="1300"/>
          <w:jc w:val="center"/>
        </w:trPr>
        <w:tc>
          <w:tcPr>
            <w:tcW w:w="1364" w:type="dxa"/>
            <w:tcBorders>
              <w:left w:val="single" w:sz="12" w:space="0" w:color="auto"/>
            </w:tcBorders>
            <w:shd w:val="clear" w:color="auto" w:fill="auto"/>
            <w:vAlign w:val="center"/>
          </w:tcPr>
          <w:p w:rsidR="00B12988" w:rsidRDefault="00B12988" w:rsidP="00B12988">
            <w:pPr>
              <w:ind w:left="360" w:hanging="240"/>
              <w:jc w:val="center"/>
              <w:rPr>
                <w:rFonts w:ascii="Times New Roman" w:eastAsia="標楷體" w:hAnsi="標楷體"/>
                <w:b/>
                <w:szCs w:val="24"/>
              </w:rPr>
            </w:pPr>
            <w:r>
              <w:rPr>
                <w:rFonts w:ascii="Times New Roman" w:eastAsia="標楷體" w:hAnsi="標楷體" w:hint="eastAsia"/>
                <w:b/>
                <w:szCs w:val="24"/>
              </w:rPr>
              <w:t>內容</w:t>
            </w:r>
          </w:p>
          <w:p w:rsidR="00B12988" w:rsidRPr="00CD6B06" w:rsidRDefault="00B12988" w:rsidP="00B12988">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756" w:type="dxa"/>
            <w:gridSpan w:val="2"/>
            <w:tcBorders>
              <w:bottom w:val="single" w:sz="4" w:space="0" w:color="auto"/>
              <w:right w:val="single" w:sz="12" w:space="0" w:color="auto"/>
            </w:tcBorders>
            <w:shd w:val="clear" w:color="auto" w:fill="auto"/>
          </w:tcPr>
          <w:p w:rsidR="00B12988" w:rsidRPr="00DA6BA4" w:rsidRDefault="00B12988" w:rsidP="00B12988">
            <w:pPr>
              <w:ind w:left="360" w:hanging="240"/>
              <w:jc w:val="both"/>
              <w:rPr>
                <w:rFonts w:ascii="標楷體" w:eastAsia="標楷體" w:hAnsi="標楷體"/>
              </w:rPr>
            </w:pPr>
            <w:r w:rsidRPr="00DA6BA4">
              <w:rPr>
                <w:rFonts w:ascii="標楷體" w:eastAsia="標楷體" w:hAnsi="標楷體" w:hint="eastAsia"/>
              </w:rPr>
              <w:t>主辦單位：財金系</w:t>
            </w:r>
          </w:p>
          <w:p w:rsidR="00B12988" w:rsidRPr="00DA6BA4" w:rsidRDefault="00B12988" w:rsidP="00B12988">
            <w:pPr>
              <w:ind w:left="360" w:hanging="240"/>
              <w:jc w:val="both"/>
              <w:rPr>
                <w:rFonts w:ascii="標楷體" w:eastAsia="標楷體" w:hAnsi="標楷體"/>
              </w:rPr>
            </w:pPr>
            <w:r w:rsidRPr="00DA6BA4">
              <w:rPr>
                <w:rFonts w:ascii="標楷體" w:eastAsia="標楷體" w:hAnsi="標楷體" w:hint="eastAsia"/>
              </w:rPr>
              <w:t>活動日期：</w:t>
            </w:r>
            <w:r w:rsidR="0044565E" w:rsidRPr="00DA6BA4">
              <w:rPr>
                <w:rFonts w:ascii="標楷體" w:eastAsia="標楷體" w:hAnsi="標楷體" w:hint="eastAsia"/>
              </w:rPr>
              <w:t>10</w:t>
            </w:r>
            <w:r w:rsidR="001649E9" w:rsidRPr="00DA6BA4">
              <w:rPr>
                <w:rFonts w:ascii="標楷體" w:eastAsia="標楷體" w:hAnsi="標楷體" w:hint="eastAsia"/>
              </w:rPr>
              <w:t>8</w:t>
            </w:r>
            <w:r w:rsidR="0044565E" w:rsidRPr="00DA6BA4">
              <w:rPr>
                <w:rFonts w:ascii="標楷體" w:eastAsia="標楷體" w:hAnsi="標楷體" w:hint="eastAsia"/>
              </w:rPr>
              <w:t>/</w:t>
            </w:r>
            <w:r w:rsidR="00017905">
              <w:rPr>
                <w:rFonts w:ascii="標楷體" w:eastAsia="標楷體" w:hAnsi="標楷體" w:hint="eastAsia"/>
              </w:rPr>
              <w:t>12</w:t>
            </w:r>
            <w:r w:rsidR="0044565E" w:rsidRPr="00DA6BA4">
              <w:rPr>
                <w:rFonts w:ascii="標楷體" w:eastAsia="標楷體" w:hAnsi="標楷體" w:hint="eastAsia"/>
              </w:rPr>
              <w:t>/</w:t>
            </w:r>
            <w:r w:rsidR="00D56685">
              <w:rPr>
                <w:rFonts w:ascii="標楷體" w:eastAsia="標楷體" w:hAnsi="標楷體" w:hint="eastAsia"/>
              </w:rPr>
              <w:t>1</w:t>
            </w:r>
            <w:r w:rsidR="00017905">
              <w:rPr>
                <w:rFonts w:ascii="標楷體" w:eastAsia="標楷體" w:hAnsi="標楷體" w:hint="eastAsia"/>
              </w:rPr>
              <w:t>1</w:t>
            </w:r>
            <w:r w:rsidRPr="00DA6BA4">
              <w:rPr>
                <w:rFonts w:ascii="標楷體" w:eastAsia="標楷體" w:hAnsi="標楷體" w:hint="eastAsia"/>
              </w:rPr>
              <w:t>(周</w:t>
            </w:r>
            <w:r w:rsidR="00BC0113" w:rsidRPr="00DA6BA4">
              <w:rPr>
                <w:rFonts w:ascii="標楷體" w:eastAsia="標楷體" w:hAnsi="標楷體" w:hint="eastAsia"/>
              </w:rPr>
              <w:t>三</w:t>
            </w:r>
            <w:r w:rsidRPr="00DA6BA4">
              <w:rPr>
                <w:rFonts w:ascii="標楷體" w:eastAsia="標楷體" w:hAnsi="標楷體" w:hint="eastAsia"/>
              </w:rPr>
              <w:t>)</w:t>
            </w:r>
            <w:r w:rsidR="00BC0113" w:rsidRPr="00DA6BA4">
              <w:rPr>
                <w:rFonts w:ascii="標楷體" w:eastAsia="標楷體" w:hAnsi="標楷體" w:hint="eastAsia"/>
              </w:rPr>
              <w:t>13</w:t>
            </w:r>
            <w:r w:rsidRPr="00DA6BA4">
              <w:rPr>
                <w:rFonts w:ascii="標楷體" w:eastAsia="標楷體" w:hAnsi="標楷體"/>
              </w:rPr>
              <w:t>00-1</w:t>
            </w:r>
            <w:r w:rsidR="00BC0113" w:rsidRPr="00DA6BA4">
              <w:rPr>
                <w:rFonts w:ascii="標楷體" w:eastAsia="標楷體" w:hAnsi="標楷體" w:hint="eastAsia"/>
              </w:rPr>
              <w:t>5</w:t>
            </w:r>
            <w:r w:rsidRPr="00DA6BA4">
              <w:rPr>
                <w:rFonts w:ascii="標楷體" w:eastAsia="標楷體" w:hAnsi="標楷體"/>
              </w:rPr>
              <w:t>00</w:t>
            </w:r>
          </w:p>
          <w:p w:rsidR="00B12988" w:rsidRPr="00DA6BA4" w:rsidRDefault="00B12988" w:rsidP="00B12988">
            <w:pPr>
              <w:ind w:left="360" w:hanging="240"/>
              <w:jc w:val="both"/>
              <w:rPr>
                <w:rFonts w:ascii="標楷體" w:eastAsia="標楷體" w:hAnsi="標楷體"/>
              </w:rPr>
            </w:pPr>
            <w:r w:rsidRPr="00DA6BA4">
              <w:rPr>
                <w:rFonts w:ascii="標楷體" w:eastAsia="標楷體" w:hAnsi="標楷體" w:hint="eastAsia"/>
              </w:rPr>
              <w:t>活動地點：</w:t>
            </w:r>
            <w:r w:rsidR="00725196" w:rsidRPr="00DA6BA4">
              <w:rPr>
                <w:rFonts w:ascii="標楷體" w:eastAsia="標楷體" w:hAnsi="標楷體" w:hint="eastAsia"/>
              </w:rPr>
              <w:t>大恩</w:t>
            </w:r>
            <w:r w:rsidR="00D56685">
              <w:rPr>
                <w:rFonts w:ascii="標楷體" w:eastAsia="標楷體" w:hAnsi="標楷體" w:hint="eastAsia"/>
              </w:rPr>
              <w:t>848</w:t>
            </w:r>
            <w:r w:rsidR="00C329D6" w:rsidRPr="00DA6BA4">
              <w:rPr>
                <w:rFonts w:ascii="標楷體" w:eastAsia="標楷體" w:hAnsi="標楷體" w:hint="eastAsia"/>
              </w:rPr>
              <w:t>教室</w:t>
            </w:r>
          </w:p>
          <w:p w:rsidR="009912E7" w:rsidRDefault="00B12988" w:rsidP="00B12988">
            <w:pPr>
              <w:ind w:left="360" w:hanging="240"/>
              <w:jc w:val="both"/>
              <w:rPr>
                <w:rFonts w:ascii="Times New Roman" w:eastAsia="標楷體" w:hAnsi="標楷體" w:cs="Times New Roman"/>
                <w:szCs w:val="24"/>
              </w:rPr>
            </w:pPr>
            <w:r w:rsidRPr="00DA6BA4">
              <w:rPr>
                <w:rFonts w:ascii="標楷體" w:eastAsia="標楷體" w:hAnsi="標楷體" w:hint="eastAsia"/>
              </w:rPr>
              <w:t>主 講 者：</w:t>
            </w:r>
            <w:r w:rsidR="00D56685">
              <w:rPr>
                <w:rFonts w:ascii="Times New Roman" w:eastAsia="標楷體" w:hAnsi="Times New Roman" w:hint="eastAsia"/>
                <w:szCs w:val="24"/>
              </w:rPr>
              <w:t>陳昀琳老師</w:t>
            </w:r>
            <w:r w:rsidR="00D56685">
              <w:rPr>
                <w:rFonts w:ascii="Times New Roman" w:eastAsia="標楷體" w:hAnsi="Times New Roman" w:hint="eastAsia"/>
                <w:szCs w:val="24"/>
              </w:rPr>
              <w:t>-</w:t>
            </w:r>
            <w:r w:rsidR="00D56685">
              <w:rPr>
                <w:rFonts w:ascii="Times New Roman" w:eastAsia="標楷體" w:hAnsi="標楷體" w:cs="Times New Roman" w:hint="eastAsia"/>
                <w:szCs w:val="24"/>
              </w:rPr>
              <w:t>投資決策分析</w:t>
            </w:r>
          </w:p>
          <w:p w:rsidR="00B12988" w:rsidRPr="00DA6BA4" w:rsidRDefault="00B12988" w:rsidP="00B12988">
            <w:pPr>
              <w:ind w:left="360" w:hanging="240"/>
              <w:jc w:val="both"/>
              <w:rPr>
                <w:rFonts w:ascii="標楷體" w:eastAsia="標楷體" w:hAnsi="標楷體"/>
              </w:rPr>
            </w:pPr>
            <w:r w:rsidRPr="00DA6BA4">
              <w:rPr>
                <w:rFonts w:ascii="標楷體" w:eastAsia="標楷體" w:hAnsi="標楷體" w:hint="eastAsia"/>
              </w:rPr>
              <w:t>參與人數：</w:t>
            </w:r>
            <w:r w:rsidR="00017905">
              <w:rPr>
                <w:rFonts w:ascii="標楷體" w:eastAsia="標楷體" w:hAnsi="標楷體" w:hint="eastAsia"/>
                <w:u w:val="single"/>
              </w:rPr>
              <w:t>25</w:t>
            </w:r>
            <w:r w:rsidRPr="00DA6BA4">
              <w:rPr>
                <w:rFonts w:ascii="標楷體" w:eastAsia="標楷體" w:hAnsi="標楷體" w:hint="eastAsia"/>
              </w:rPr>
              <w:t>人（教師</w:t>
            </w:r>
            <w:r w:rsidR="00106A94" w:rsidRPr="00DA6BA4">
              <w:rPr>
                <w:rFonts w:ascii="標楷體" w:eastAsia="標楷體" w:hAnsi="標楷體" w:hint="eastAsia"/>
                <w:u w:val="single"/>
              </w:rPr>
              <w:t>2</w:t>
            </w:r>
            <w:r w:rsidRPr="00DA6BA4">
              <w:rPr>
                <w:rFonts w:ascii="標楷體" w:eastAsia="標楷體" w:hAnsi="標楷體" w:hint="eastAsia"/>
              </w:rPr>
              <w:t>人、學生</w:t>
            </w:r>
            <w:r w:rsidR="00D56685">
              <w:rPr>
                <w:rFonts w:ascii="標楷體" w:eastAsia="標楷體" w:hAnsi="標楷體" w:hint="eastAsia"/>
                <w:u w:val="single"/>
              </w:rPr>
              <w:t>2</w:t>
            </w:r>
            <w:r w:rsidR="00017905">
              <w:rPr>
                <w:rFonts w:ascii="標楷體" w:eastAsia="標楷體" w:hAnsi="標楷體" w:hint="eastAsia"/>
                <w:u w:val="single"/>
              </w:rPr>
              <w:t>3</w:t>
            </w:r>
            <w:r w:rsidRPr="00DA6BA4">
              <w:rPr>
                <w:rFonts w:ascii="標楷體" w:eastAsia="標楷體" w:hAnsi="標楷體" w:hint="eastAsia"/>
              </w:rPr>
              <w:t>人、）</w:t>
            </w:r>
          </w:p>
          <w:p w:rsidR="00106A94" w:rsidRPr="00DA6BA4" w:rsidRDefault="00B12988" w:rsidP="009A3157">
            <w:pPr>
              <w:ind w:left="360" w:hanging="240"/>
              <w:jc w:val="both"/>
              <w:rPr>
                <w:rFonts w:ascii="標楷體" w:eastAsia="標楷體" w:hAnsi="標楷體"/>
              </w:rPr>
            </w:pPr>
            <w:r w:rsidRPr="00DA6BA4">
              <w:rPr>
                <w:rFonts w:ascii="標楷體" w:eastAsia="標楷體" w:hAnsi="標楷體" w:hint="eastAsia"/>
              </w:rPr>
              <w:t>內    容：</w:t>
            </w:r>
          </w:p>
          <w:p w:rsidR="00D56685" w:rsidRDefault="00D56685" w:rsidP="00D56685">
            <w:pPr>
              <w:ind w:left="360" w:hanging="240"/>
              <w:rPr>
                <w:rFonts w:ascii="標楷體" w:eastAsia="標楷體" w:hAnsi="標楷體"/>
              </w:rPr>
            </w:pPr>
            <w:r w:rsidRPr="00D56685">
              <w:rPr>
                <w:rFonts w:ascii="標楷體" w:eastAsia="標楷體" w:hAnsi="標楷體" w:hint="eastAsia"/>
              </w:rPr>
              <w:t>投資決策是企業所有決策中最為關鍵、最為重要的決策，因此我們常說：投資決策失誤是企業最大的失誤，一個重要的投資決策失誤往往會使一個企業陷入困境，甚至破產。因此，財務管理的一項極為重要的職能就是為企業當好參謀把好投資決策關</w:t>
            </w:r>
            <w:r>
              <w:rPr>
                <w:rFonts w:ascii="標楷體" w:eastAsia="標楷體" w:hAnsi="標楷體" w:hint="eastAsia"/>
              </w:rPr>
              <w:t>析</w:t>
            </w:r>
            <w:r w:rsidRPr="00D56685">
              <w:rPr>
                <w:rFonts w:ascii="標楷體" w:eastAsia="標楷體" w:hAnsi="標楷體" w:hint="eastAsia"/>
              </w:rPr>
              <w:t>。</w:t>
            </w:r>
          </w:p>
          <w:p w:rsidR="00D56685" w:rsidRPr="00D56685" w:rsidRDefault="00D56685" w:rsidP="00D56685">
            <w:pPr>
              <w:ind w:left="360" w:hanging="240"/>
              <w:rPr>
                <w:rFonts w:ascii="標楷體" w:eastAsia="標楷體" w:hAnsi="標楷體"/>
              </w:rPr>
            </w:pPr>
            <w:r w:rsidRPr="00D56685">
              <w:rPr>
                <w:rFonts w:ascii="標楷體" w:eastAsia="標楷體" w:hAnsi="標楷體" w:hint="eastAsia"/>
              </w:rPr>
              <w:t>所謂投資決策是指投資者為了實現其預期的投資目標，運用—定的科學理論、方法和手段，通過一定的程式，對若幹個可行性的投資方案進行研究論證，從中選出最滿意的投資方案的過程。投資決策分為巨集觀投資決策、中觀投資決策和微觀投資決策三部分。</w:t>
            </w:r>
          </w:p>
          <w:p w:rsidR="00D56685" w:rsidRPr="00D56685" w:rsidRDefault="00D56685" w:rsidP="00D56685">
            <w:pPr>
              <w:ind w:left="360" w:hanging="240"/>
              <w:rPr>
                <w:rFonts w:ascii="標楷體" w:eastAsia="標楷體" w:hAnsi="標楷體"/>
              </w:rPr>
            </w:pPr>
            <w:r w:rsidRPr="00D56685">
              <w:rPr>
                <w:rFonts w:ascii="標楷體" w:eastAsia="標楷體" w:hAnsi="標楷體"/>
              </w:rPr>
              <w:t>(1)投資決策具有針對性投資決策要有明確的目標。如果沒有明確的</w:t>
            </w:r>
            <w:hyperlink r:id="rId7" w:tooltip="投资目标" w:history="1">
              <w:r w:rsidRPr="00D56685">
                <w:rPr>
                  <w:rFonts w:ascii="標楷體" w:eastAsia="標楷體" w:hAnsi="標楷體"/>
                </w:rPr>
                <w:t>投資目標</w:t>
              </w:r>
            </w:hyperlink>
            <w:r w:rsidRPr="00D56685">
              <w:rPr>
                <w:rFonts w:ascii="標楷體" w:eastAsia="標楷體" w:hAnsi="標楷體"/>
              </w:rPr>
              <w:t>就無所謂投資決策，而達不到投資目標的決策就是失策。</w:t>
            </w:r>
          </w:p>
          <w:p w:rsidR="00D56685" w:rsidRPr="00D56685" w:rsidRDefault="00D56685" w:rsidP="00D56685">
            <w:pPr>
              <w:ind w:left="360" w:hanging="240"/>
              <w:rPr>
                <w:rFonts w:ascii="標楷體" w:eastAsia="標楷體" w:hAnsi="標楷體"/>
              </w:rPr>
            </w:pPr>
            <w:r w:rsidRPr="00D56685">
              <w:rPr>
                <w:rFonts w:ascii="標楷體" w:eastAsia="標楷體" w:hAnsi="標楷體"/>
              </w:rPr>
              <w:t xml:space="preserve">　　(2)投資決策具有現實性投資決策是投資行動的基礎，投資決策是現代化投資經營管理的核心。投資經營管理過程就是“決策一執行一再決策一再執行”反覆迴圈的過程。因此可以說企業的投資經營活動是在投資決策的基礎上進行的，沒有正確的投資決策，也就沒有合理的投資行動。</w:t>
            </w:r>
          </w:p>
          <w:p w:rsidR="00D56685" w:rsidRPr="00D56685" w:rsidRDefault="00D56685" w:rsidP="00D56685">
            <w:pPr>
              <w:ind w:left="360" w:hanging="240"/>
              <w:rPr>
                <w:rFonts w:ascii="標楷體" w:eastAsia="標楷體" w:hAnsi="標楷體"/>
              </w:rPr>
            </w:pPr>
            <w:r w:rsidRPr="00D56685">
              <w:rPr>
                <w:rFonts w:ascii="標楷體" w:eastAsia="標楷體" w:hAnsi="標楷體"/>
              </w:rPr>
              <w:t xml:space="preserve">　　(3)投資決策具有擇優性投資決策與優選概念是並存的，投資決策中必須提供實現投資目標的幾個可行方案，因為投資決策過程就是對諸投資方案進行評判選擇的過程。合理的選擇就是優選。優選方案不—定是最優方案，但它應是諸多可行投資方案中最滿意的</w:t>
            </w:r>
            <w:hyperlink r:id="rId8" w:tooltip="投资方案" w:history="1">
              <w:r w:rsidRPr="00D56685">
                <w:rPr>
                  <w:rFonts w:ascii="標楷體" w:eastAsia="標楷體" w:hAnsi="標楷體"/>
                </w:rPr>
                <w:t>投資方案</w:t>
              </w:r>
            </w:hyperlink>
            <w:r w:rsidRPr="00D56685">
              <w:rPr>
                <w:rFonts w:ascii="標楷體" w:eastAsia="標楷體" w:hAnsi="標楷體"/>
              </w:rPr>
              <w:t>。</w:t>
            </w:r>
          </w:p>
          <w:p w:rsidR="00D56685" w:rsidRPr="00D56685" w:rsidRDefault="00D56685" w:rsidP="00D56685">
            <w:pPr>
              <w:ind w:left="360" w:hanging="240"/>
              <w:rPr>
                <w:rFonts w:ascii="標楷體" w:eastAsia="標楷體" w:hAnsi="標楷體"/>
              </w:rPr>
            </w:pPr>
            <w:r w:rsidRPr="00D56685">
              <w:rPr>
                <w:rFonts w:ascii="標楷體" w:eastAsia="標楷體" w:hAnsi="標楷體"/>
              </w:rPr>
              <w:t xml:space="preserve">　　(4)投資決策具有風險性風險就是未來可能發生的危險，投資決策應顧及到實踐中將出現的各種可預測或不可預測的變化。因為</w:t>
            </w:r>
            <w:hyperlink r:id="rId9" w:tooltip="投资环境" w:history="1">
              <w:r w:rsidRPr="00D56685">
                <w:rPr>
                  <w:rFonts w:ascii="標楷體" w:eastAsia="標楷體" w:hAnsi="標楷體"/>
                </w:rPr>
                <w:t>投資環境</w:t>
              </w:r>
            </w:hyperlink>
            <w:r w:rsidRPr="00D56685">
              <w:rPr>
                <w:rFonts w:ascii="標楷體" w:eastAsia="標楷體" w:hAnsi="標楷體"/>
              </w:rPr>
              <w:t>是瞬息萬變的，風險的發生具有偶然性和客觀性，是無法避免的，但人們可沒法去認識風險的規性，依據以往的歷史資料並通過概率統計的方法，對風險做出估計，從而控制並降低風險。</w:t>
            </w:r>
          </w:p>
          <w:p w:rsidR="00D56685" w:rsidRPr="00D56685" w:rsidRDefault="00D56685" w:rsidP="00D56685">
            <w:pPr>
              <w:ind w:left="360" w:hanging="240"/>
              <w:rPr>
                <w:rFonts w:ascii="標楷體" w:eastAsia="標楷體" w:hAnsi="標楷體"/>
              </w:rPr>
            </w:pPr>
          </w:p>
          <w:p w:rsidR="00D56685" w:rsidRDefault="00D56685" w:rsidP="00D56685">
            <w:pPr>
              <w:ind w:leftChars="20" w:left="146" w:hangingChars="41" w:hanging="98"/>
              <w:jc w:val="both"/>
              <w:rPr>
                <w:rFonts w:ascii="標楷體" w:eastAsia="標楷體" w:hAnsi="標楷體"/>
              </w:rPr>
            </w:pPr>
            <w:r w:rsidRPr="00D56685">
              <w:rPr>
                <w:rFonts w:ascii="標楷體" w:eastAsia="標楷體" w:hAnsi="標楷體" w:hint="eastAsia"/>
              </w:rPr>
              <w:t xml:space="preserve">　　</w:t>
            </w:r>
          </w:p>
          <w:p w:rsidR="00D56685" w:rsidRDefault="00D56685" w:rsidP="00D56685">
            <w:pPr>
              <w:ind w:leftChars="20" w:left="146" w:hangingChars="41" w:hanging="98"/>
              <w:jc w:val="both"/>
              <w:rPr>
                <w:rFonts w:ascii="標楷體" w:eastAsia="標楷體" w:hAnsi="標楷體"/>
              </w:rPr>
            </w:pPr>
          </w:p>
          <w:p w:rsidR="00DA6BA4" w:rsidRPr="00DA6BA4" w:rsidRDefault="00DA6BA4" w:rsidP="00D56685">
            <w:pPr>
              <w:ind w:leftChars="20" w:left="146" w:hangingChars="41" w:hanging="98"/>
              <w:jc w:val="both"/>
              <w:rPr>
                <w:rFonts w:ascii="標楷體" w:eastAsia="標楷體" w:hAnsi="標楷體"/>
              </w:rPr>
            </w:pPr>
            <w:r w:rsidRPr="00DA6BA4">
              <w:rPr>
                <w:rFonts w:ascii="標楷體" w:eastAsia="標楷體" w:hAnsi="標楷體" w:hint="eastAsia"/>
              </w:rPr>
              <w:lastRenderedPageBreak/>
              <w:t>執行成效:</w:t>
            </w:r>
          </w:p>
          <w:p w:rsidR="00B12988" w:rsidRPr="009A3157" w:rsidRDefault="00DA6BA4" w:rsidP="009A3157">
            <w:pPr>
              <w:ind w:left="360" w:hanging="240"/>
              <w:jc w:val="both"/>
              <w:rPr>
                <w:rFonts w:eastAsia="標楷體"/>
              </w:rPr>
            </w:pPr>
            <w:r>
              <w:rPr>
                <w:rFonts w:eastAsia="標楷體" w:hint="eastAsia"/>
              </w:rPr>
              <w:t>鼓勵學生多元學習，不要就地設限，世界之大，保持著處處可學習態度。</w:t>
            </w:r>
          </w:p>
        </w:tc>
      </w:tr>
      <w:tr w:rsidR="00B12988" w:rsidRPr="004F456F" w:rsidTr="0044565E">
        <w:trPr>
          <w:trHeight w:val="753"/>
          <w:jc w:val="center"/>
        </w:trPr>
        <w:tc>
          <w:tcPr>
            <w:tcW w:w="1364" w:type="dxa"/>
            <w:vMerge w:val="restart"/>
            <w:tcBorders>
              <w:left w:val="single" w:sz="12" w:space="0" w:color="auto"/>
            </w:tcBorders>
            <w:shd w:val="clear" w:color="auto" w:fill="auto"/>
            <w:vAlign w:val="center"/>
          </w:tcPr>
          <w:p w:rsidR="00B12988" w:rsidRDefault="00B12988" w:rsidP="00B12988">
            <w:pPr>
              <w:ind w:left="360" w:hanging="240"/>
              <w:jc w:val="center"/>
              <w:rPr>
                <w:rFonts w:ascii="Times New Roman" w:eastAsia="標楷體" w:hAnsi="標楷體"/>
                <w:b/>
                <w:szCs w:val="24"/>
              </w:rPr>
            </w:pPr>
            <w:r>
              <w:rPr>
                <w:rFonts w:ascii="Times New Roman" w:eastAsia="標楷體" w:hAnsi="標楷體" w:hint="eastAsia"/>
                <w:b/>
                <w:szCs w:val="24"/>
              </w:rPr>
              <w:lastRenderedPageBreak/>
              <w:t>活動照片</w:t>
            </w:r>
          </w:p>
          <w:p w:rsidR="00B12988" w:rsidRPr="00CD6B06" w:rsidRDefault="00B12988" w:rsidP="00B12988">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4291" w:type="dxa"/>
            <w:tcBorders>
              <w:right w:val="single" w:sz="4" w:space="0" w:color="auto"/>
            </w:tcBorders>
            <w:shd w:val="clear" w:color="auto" w:fill="auto"/>
            <w:vAlign w:val="center"/>
          </w:tcPr>
          <w:p w:rsidR="00B12988" w:rsidRDefault="00B12988" w:rsidP="00B12988">
            <w:pPr>
              <w:ind w:left="360" w:hanging="240"/>
              <w:jc w:val="center"/>
              <w:rPr>
                <w:rFonts w:ascii="標楷體" w:eastAsia="標楷體" w:hAnsi="標楷體"/>
                <w:b/>
              </w:rPr>
            </w:pPr>
            <w:r w:rsidRPr="003125AC">
              <w:rPr>
                <w:rFonts w:ascii="標楷體" w:eastAsia="標楷體" w:hAnsi="標楷體" w:hint="eastAsia"/>
                <w:b/>
              </w:rPr>
              <w:t>活動照片電子檔名稱</w:t>
            </w:r>
          </w:p>
          <w:p w:rsidR="00B12988" w:rsidRPr="003125AC" w:rsidRDefault="00B12988" w:rsidP="00B12988">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465" w:type="dxa"/>
            <w:tcBorders>
              <w:left w:val="single" w:sz="4" w:space="0" w:color="auto"/>
              <w:right w:val="single" w:sz="12" w:space="0" w:color="auto"/>
            </w:tcBorders>
            <w:shd w:val="clear" w:color="auto" w:fill="auto"/>
            <w:vAlign w:val="center"/>
          </w:tcPr>
          <w:p w:rsidR="00B12988" w:rsidRPr="003125AC" w:rsidRDefault="00B12988" w:rsidP="00B12988">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BC0113" w:rsidRPr="004F456F" w:rsidTr="0044565E">
        <w:trPr>
          <w:trHeight w:val="454"/>
          <w:jc w:val="center"/>
        </w:trPr>
        <w:tc>
          <w:tcPr>
            <w:tcW w:w="1364" w:type="dxa"/>
            <w:vMerge/>
            <w:tcBorders>
              <w:left w:val="single" w:sz="12" w:space="0" w:color="auto"/>
            </w:tcBorders>
            <w:shd w:val="clear" w:color="auto" w:fill="auto"/>
            <w:vAlign w:val="center"/>
          </w:tcPr>
          <w:p w:rsidR="00BC0113" w:rsidRDefault="00BC0113" w:rsidP="00BC0113">
            <w:pPr>
              <w:ind w:left="360" w:hanging="240"/>
              <w:jc w:val="center"/>
              <w:rPr>
                <w:rFonts w:ascii="Times New Roman" w:eastAsia="標楷體" w:hAnsi="標楷體"/>
                <w:b/>
                <w:szCs w:val="24"/>
              </w:rPr>
            </w:pPr>
          </w:p>
        </w:tc>
        <w:tc>
          <w:tcPr>
            <w:tcW w:w="4291" w:type="dxa"/>
            <w:tcBorders>
              <w:right w:val="single" w:sz="4" w:space="0" w:color="auto"/>
            </w:tcBorders>
            <w:shd w:val="clear" w:color="auto" w:fill="auto"/>
          </w:tcPr>
          <w:p w:rsidR="00BC0113" w:rsidRPr="00772F88" w:rsidRDefault="00D56685" w:rsidP="00BC0113">
            <w:pPr>
              <w:ind w:left="360" w:hanging="240"/>
              <w:jc w:val="center"/>
              <w:rPr>
                <w:rFonts w:ascii="標楷體" w:eastAsia="標楷體" w:hAnsi="標楷體"/>
              </w:rPr>
            </w:pPr>
            <w:r w:rsidRPr="00D56685">
              <w:rPr>
                <w:noProof/>
              </w:rPr>
              <w:drawing>
                <wp:inline distT="0" distB="0" distL="0" distR="0" wp14:anchorId="1975356B" wp14:editId="408F0703">
                  <wp:extent cx="2401083" cy="1800000"/>
                  <wp:effectExtent l="0" t="0" r="0" b="0"/>
                  <wp:docPr id="3" name="圖片 3" descr="C:\Users\first\Desktop\新增資料夾\2019529CMONEY_190530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rst\Desktop\新增資料夾\2019529CMONEY_190530_0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c>
          <w:tcPr>
            <w:tcW w:w="4465" w:type="dxa"/>
            <w:tcBorders>
              <w:left w:val="single" w:sz="4" w:space="0" w:color="auto"/>
              <w:right w:val="single" w:sz="12" w:space="0" w:color="auto"/>
            </w:tcBorders>
            <w:shd w:val="clear" w:color="auto" w:fill="auto"/>
          </w:tcPr>
          <w:p w:rsidR="00BC0113" w:rsidRPr="00772F88" w:rsidRDefault="00D56685" w:rsidP="00BC0113">
            <w:pPr>
              <w:ind w:left="360" w:hanging="240"/>
              <w:jc w:val="center"/>
              <w:rPr>
                <w:rFonts w:ascii="標楷體" w:eastAsia="標楷體" w:hAnsi="標楷體"/>
              </w:rPr>
            </w:pPr>
            <w:r w:rsidRPr="00D56685">
              <w:rPr>
                <w:noProof/>
              </w:rPr>
              <w:drawing>
                <wp:inline distT="0" distB="0" distL="0" distR="0" wp14:anchorId="4E6025E3" wp14:editId="599A6003">
                  <wp:extent cx="2401083" cy="1800000"/>
                  <wp:effectExtent l="0" t="0" r="0" b="0"/>
                  <wp:docPr id="1" name="圖片 1" descr="C:\Users\first\Desktop\新增資料夾\2019529CMONEY_19053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st\Desktop\新增資料夾\2019529CMONEY_190530_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r>
      <w:tr w:rsidR="00BC0113" w:rsidRPr="004F456F" w:rsidTr="0044565E">
        <w:trPr>
          <w:trHeight w:val="454"/>
          <w:jc w:val="center"/>
        </w:trPr>
        <w:tc>
          <w:tcPr>
            <w:tcW w:w="1364" w:type="dxa"/>
            <w:vMerge/>
            <w:tcBorders>
              <w:left w:val="single" w:sz="12" w:space="0" w:color="auto"/>
            </w:tcBorders>
            <w:shd w:val="clear" w:color="auto" w:fill="auto"/>
            <w:vAlign w:val="center"/>
          </w:tcPr>
          <w:p w:rsidR="00BC0113" w:rsidRDefault="00BC0113" w:rsidP="00BC0113">
            <w:pPr>
              <w:ind w:left="360" w:hanging="240"/>
              <w:jc w:val="center"/>
              <w:rPr>
                <w:rFonts w:ascii="Times New Roman" w:eastAsia="標楷體" w:hAnsi="標楷體"/>
                <w:b/>
                <w:szCs w:val="24"/>
              </w:rPr>
            </w:pPr>
          </w:p>
        </w:tc>
        <w:tc>
          <w:tcPr>
            <w:tcW w:w="4291" w:type="dxa"/>
            <w:tcBorders>
              <w:right w:val="single" w:sz="4" w:space="0" w:color="auto"/>
            </w:tcBorders>
            <w:shd w:val="clear" w:color="auto" w:fill="auto"/>
          </w:tcPr>
          <w:p w:rsidR="00BC0113" w:rsidRPr="00772F88" w:rsidRDefault="00D56685" w:rsidP="00BC0113">
            <w:pPr>
              <w:tabs>
                <w:tab w:val="left" w:pos="2805"/>
              </w:tabs>
              <w:ind w:leftChars="33" w:left="79" w:firstLineChars="17" w:firstLine="41"/>
              <w:jc w:val="center"/>
              <w:rPr>
                <w:rFonts w:ascii="標楷體" w:eastAsia="標楷體" w:hAnsi="標楷體"/>
              </w:rPr>
            </w:pPr>
            <w:r w:rsidRPr="00D56685">
              <w:rPr>
                <w:noProof/>
              </w:rPr>
              <w:drawing>
                <wp:inline distT="0" distB="0" distL="0" distR="0" wp14:anchorId="7EB47BCC" wp14:editId="6CFE2F1A">
                  <wp:extent cx="2401083" cy="1800000"/>
                  <wp:effectExtent l="0" t="0" r="0" b="0"/>
                  <wp:docPr id="2" name="圖片 2" descr="C:\Users\first\Desktop\新增資料夾\2019529CMONEY_19053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rst\Desktop\新增資料夾\2019529CMONEY_190530_0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c>
          <w:tcPr>
            <w:tcW w:w="4465" w:type="dxa"/>
            <w:tcBorders>
              <w:left w:val="single" w:sz="4" w:space="0" w:color="auto"/>
              <w:right w:val="single" w:sz="12" w:space="0" w:color="auto"/>
            </w:tcBorders>
            <w:shd w:val="clear" w:color="auto" w:fill="auto"/>
          </w:tcPr>
          <w:p w:rsidR="00BC0113" w:rsidRPr="00772F88" w:rsidRDefault="00D56685" w:rsidP="00BC0113">
            <w:pPr>
              <w:ind w:left="360" w:hanging="240"/>
              <w:jc w:val="center"/>
              <w:rPr>
                <w:rFonts w:ascii="標楷體" w:eastAsia="標楷體" w:hAnsi="標楷體"/>
              </w:rPr>
            </w:pPr>
            <w:r w:rsidRPr="00D56685">
              <w:rPr>
                <w:noProof/>
              </w:rPr>
              <w:drawing>
                <wp:inline distT="0" distB="0" distL="0" distR="0" wp14:anchorId="1F9B2BC3" wp14:editId="1EEA88FF">
                  <wp:extent cx="2401083" cy="1800000"/>
                  <wp:effectExtent l="0" t="0" r="0" b="0"/>
                  <wp:docPr id="4" name="圖片 4" descr="C:\Users\first\Desktop\新增資料夾\S__8724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rst\Desktop\新增資料夾\S__87248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r>
    </w:tbl>
    <w:p w:rsidR="005154D4" w:rsidRPr="00C93D25" w:rsidRDefault="005154D4" w:rsidP="005154D4">
      <w:pPr>
        <w:widowControl/>
        <w:ind w:left="360" w:hanging="240"/>
        <w:rPr>
          <w:rFonts w:ascii="標楷體" w:eastAsia="標楷體" w:hAnsi="標楷體"/>
          <w:szCs w:val="24"/>
        </w:rPr>
      </w:pPr>
    </w:p>
    <w:p w:rsidR="00BC55D2" w:rsidRDefault="00526C2A" w:rsidP="00C90F50">
      <w:pPr>
        <w:ind w:left="130" w:hanging="10"/>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pPr>
      <w:r w:rsidRPr="00526C2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rsidR="00B5465B" w:rsidRDefault="00B5465B" w:rsidP="002B71DC">
      <w:pPr>
        <w:ind w:left="360" w:hanging="240"/>
        <w:rPr>
          <w:noProof/>
        </w:rPr>
      </w:pPr>
    </w:p>
    <w:p w:rsidR="00C329D6" w:rsidRDefault="00C329D6" w:rsidP="002B71DC">
      <w:pPr>
        <w:ind w:left="360" w:hanging="240"/>
        <w:rPr>
          <w:noProof/>
        </w:rPr>
      </w:pPr>
    </w:p>
    <w:p w:rsidR="00B5465B" w:rsidRDefault="00B5465B" w:rsidP="002B71DC">
      <w:pPr>
        <w:ind w:left="360" w:hanging="240"/>
        <w:rPr>
          <w:noProof/>
        </w:rPr>
      </w:pPr>
    </w:p>
    <w:p w:rsidR="002B71DC" w:rsidRDefault="002B71DC" w:rsidP="00057DC7">
      <w:pPr>
        <w:tabs>
          <w:tab w:val="left" w:pos="1935"/>
        </w:tabs>
        <w:ind w:left="360" w:hanging="240"/>
      </w:pPr>
    </w:p>
    <w:sectPr w:rsidR="002B71DC" w:rsidSect="00197A25">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DFB" w:rsidRDefault="00827DFB" w:rsidP="00B23FF5">
      <w:pPr>
        <w:ind w:left="360" w:hanging="240"/>
      </w:pPr>
      <w:r>
        <w:separator/>
      </w:r>
    </w:p>
  </w:endnote>
  <w:endnote w:type="continuationSeparator" w:id="0">
    <w:p w:rsidR="00827DFB" w:rsidRDefault="00827DFB"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7DFB"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F317D2" w:rsidRPr="00F317D2">
          <w:rPr>
            <w:noProof/>
            <w:lang w:val="zh-TW"/>
          </w:rPr>
          <w:t>2</w:t>
        </w:r>
        <w:r>
          <w:rPr>
            <w:noProof/>
            <w:lang w:val="zh-TW"/>
          </w:rPr>
          <w:fldChar w:fldCharType="end"/>
        </w:r>
      </w:p>
    </w:sdtContent>
  </w:sdt>
  <w:p w:rsidR="0025437C" w:rsidRDefault="00827DFB"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7DFB"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DFB" w:rsidRDefault="00827DFB" w:rsidP="00B23FF5">
      <w:pPr>
        <w:ind w:left="360" w:hanging="240"/>
      </w:pPr>
      <w:r>
        <w:separator/>
      </w:r>
    </w:p>
  </w:footnote>
  <w:footnote w:type="continuationSeparator" w:id="0">
    <w:p w:rsidR="00827DFB" w:rsidRDefault="00827DFB"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7DFB"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7DFB"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7DFB"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F0996"/>
    <w:multiLevelType w:val="hybridMultilevel"/>
    <w:tmpl w:val="C262D98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2E7F2B"/>
    <w:multiLevelType w:val="hybridMultilevel"/>
    <w:tmpl w:val="D5387412"/>
    <w:lvl w:ilvl="0" w:tplc="42ECB608">
      <w:start w:val="1"/>
      <w:numFmt w:val="bullet"/>
      <w:lvlText w:val=""/>
      <w:lvlJc w:val="left"/>
      <w:pPr>
        <w:tabs>
          <w:tab w:val="num" w:pos="720"/>
        </w:tabs>
        <w:ind w:left="720" w:hanging="360"/>
      </w:pPr>
      <w:rPr>
        <w:rFonts w:ascii="Wingdings" w:hAnsi="Wingdings" w:hint="default"/>
      </w:rPr>
    </w:lvl>
    <w:lvl w:ilvl="1" w:tplc="0324F16C">
      <w:numFmt w:val="bullet"/>
      <w:lvlText w:val=""/>
      <w:lvlJc w:val="left"/>
      <w:pPr>
        <w:tabs>
          <w:tab w:val="num" w:pos="1440"/>
        </w:tabs>
        <w:ind w:left="1440" w:hanging="360"/>
      </w:pPr>
      <w:rPr>
        <w:rFonts w:ascii="Wingdings" w:hAnsi="Wingdings" w:hint="default"/>
      </w:rPr>
    </w:lvl>
    <w:lvl w:ilvl="2" w:tplc="76B69024" w:tentative="1">
      <w:start w:val="1"/>
      <w:numFmt w:val="bullet"/>
      <w:lvlText w:val=""/>
      <w:lvlJc w:val="left"/>
      <w:pPr>
        <w:tabs>
          <w:tab w:val="num" w:pos="2160"/>
        </w:tabs>
        <w:ind w:left="2160" w:hanging="360"/>
      </w:pPr>
      <w:rPr>
        <w:rFonts w:ascii="Wingdings" w:hAnsi="Wingdings" w:hint="default"/>
      </w:rPr>
    </w:lvl>
    <w:lvl w:ilvl="3" w:tplc="28F4940E" w:tentative="1">
      <w:start w:val="1"/>
      <w:numFmt w:val="bullet"/>
      <w:lvlText w:val=""/>
      <w:lvlJc w:val="left"/>
      <w:pPr>
        <w:tabs>
          <w:tab w:val="num" w:pos="2880"/>
        </w:tabs>
        <w:ind w:left="2880" w:hanging="360"/>
      </w:pPr>
      <w:rPr>
        <w:rFonts w:ascii="Wingdings" w:hAnsi="Wingdings" w:hint="default"/>
      </w:rPr>
    </w:lvl>
    <w:lvl w:ilvl="4" w:tplc="4B789C22" w:tentative="1">
      <w:start w:val="1"/>
      <w:numFmt w:val="bullet"/>
      <w:lvlText w:val=""/>
      <w:lvlJc w:val="left"/>
      <w:pPr>
        <w:tabs>
          <w:tab w:val="num" w:pos="3600"/>
        </w:tabs>
        <w:ind w:left="3600" w:hanging="360"/>
      </w:pPr>
      <w:rPr>
        <w:rFonts w:ascii="Wingdings" w:hAnsi="Wingdings" w:hint="default"/>
      </w:rPr>
    </w:lvl>
    <w:lvl w:ilvl="5" w:tplc="68F4BC3E" w:tentative="1">
      <w:start w:val="1"/>
      <w:numFmt w:val="bullet"/>
      <w:lvlText w:val=""/>
      <w:lvlJc w:val="left"/>
      <w:pPr>
        <w:tabs>
          <w:tab w:val="num" w:pos="4320"/>
        </w:tabs>
        <w:ind w:left="4320" w:hanging="360"/>
      </w:pPr>
      <w:rPr>
        <w:rFonts w:ascii="Wingdings" w:hAnsi="Wingdings" w:hint="default"/>
      </w:rPr>
    </w:lvl>
    <w:lvl w:ilvl="6" w:tplc="05201764" w:tentative="1">
      <w:start w:val="1"/>
      <w:numFmt w:val="bullet"/>
      <w:lvlText w:val=""/>
      <w:lvlJc w:val="left"/>
      <w:pPr>
        <w:tabs>
          <w:tab w:val="num" w:pos="5040"/>
        </w:tabs>
        <w:ind w:left="5040" w:hanging="360"/>
      </w:pPr>
      <w:rPr>
        <w:rFonts w:ascii="Wingdings" w:hAnsi="Wingdings" w:hint="default"/>
      </w:rPr>
    </w:lvl>
    <w:lvl w:ilvl="7" w:tplc="DD98BC34" w:tentative="1">
      <w:start w:val="1"/>
      <w:numFmt w:val="bullet"/>
      <w:lvlText w:val=""/>
      <w:lvlJc w:val="left"/>
      <w:pPr>
        <w:tabs>
          <w:tab w:val="num" w:pos="5760"/>
        </w:tabs>
        <w:ind w:left="5760" w:hanging="360"/>
      </w:pPr>
      <w:rPr>
        <w:rFonts w:ascii="Wingdings" w:hAnsi="Wingdings" w:hint="default"/>
      </w:rPr>
    </w:lvl>
    <w:lvl w:ilvl="8" w:tplc="8598B2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237DDE"/>
    <w:multiLevelType w:val="hybridMultilevel"/>
    <w:tmpl w:val="08E6AB1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17905"/>
    <w:rsid w:val="00033373"/>
    <w:rsid w:val="00043366"/>
    <w:rsid w:val="00044B24"/>
    <w:rsid w:val="000562F5"/>
    <w:rsid w:val="00057DC7"/>
    <w:rsid w:val="000611E4"/>
    <w:rsid w:val="000620E7"/>
    <w:rsid w:val="00080EF3"/>
    <w:rsid w:val="00092FC2"/>
    <w:rsid w:val="000D26DA"/>
    <w:rsid w:val="000D6B66"/>
    <w:rsid w:val="000E236E"/>
    <w:rsid w:val="000E57E3"/>
    <w:rsid w:val="00106A94"/>
    <w:rsid w:val="001112E5"/>
    <w:rsid w:val="00120BF8"/>
    <w:rsid w:val="0012581D"/>
    <w:rsid w:val="001272BF"/>
    <w:rsid w:val="0013217E"/>
    <w:rsid w:val="001369F7"/>
    <w:rsid w:val="0014348C"/>
    <w:rsid w:val="00150C69"/>
    <w:rsid w:val="0015167B"/>
    <w:rsid w:val="0015616E"/>
    <w:rsid w:val="00160661"/>
    <w:rsid w:val="001649E9"/>
    <w:rsid w:val="00181BF9"/>
    <w:rsid w:val="00193E9D"/>
    <w:rsid w:val="001B2F52"/>
    <w:rsid w:val="001C12EC"/>
    <w:rsid w:val="001F1EB5"/>
    <w:rsid w:val="001F4E0E"/>
    <w:rsid w:val="001F567D"/>
    <w:rsid w:val="00207F4D"/>
    <w:rsid w:val="002104F7"/>
    <w:rsid w:val="002169A7"/>
    <w:rsid w:val="002250FA"/>
    <w:rsid w:val="00237DDB"/>
    <w:rsid w:val="00241ADA"/>
    <w:rsid w:val="00245459"/>
    <w:rsid w:val="002460B7"/>
    <w:rsid w:val="00276E36"/>
    <w:rsid w:val="00277136"/>
    <w:rsid w:val="002775BB"/>
    <w:rsid w:val="00283886"/>
    <w:rsid w:val="002A50E6"/>
    <w:rsid w:val="002A614C"/>
    <w:rsid w:val="002B1169"/>
    <w:rsid w:val="002B71DC"/>
    <w:rsid w:val="003134DB"/>
    <w:rsid w:val="00330FED"/>
    <w:rsid w:val="00354423"/>
    <w:rsid w:val="003645C9"/>
    <w:rsid w:val="0038462E"/>
    <w:rsid w:val="003A7DBF"/>
    <w:rsid w:val="003C4882"/>
    <w:rsid w:val="003D2B26"/>
    <w:rsid w:val="003D3D21"/>
    <w:rsid w:val="003F61D5"/>
    <w:rsid w:val="003F7A1E"/>
    <w:rsid w:val="00410E13"/>
    <w:rsid w:val="00410F0F"/>
    <w:rsid w:val="004341BC"/>
    <w:rsid w:val="004353D5"/>
    <w:rsid w:val="0044565E"/>
    <w:rsid w:val="004471C9"/>
    <w:rsid w:val="00457A1E"/>
    <w:rsid w:val="004A258D"/>
    <w:rsid w:val="004A29ED"/>
    <w:rsid w:val="004A68A2"/>
    <w:rsid w:val="004A7C9E"/>
    <w:rsid w:val="004B25B2"/>
    <w:rsid w:val="004B4231"/>
    <w:rsid w:val="004B4E40"/>
    <w:rsid w:val="004B7372"/>
    <w:rsid w:val="004C6020"/>
    <w:rsid w:val="004D60DA"/>
    <w:rsid w:val="004E4531"/>
    <w:rsid w:val="004E539A"/>
    <w:rsid w:val="004F085E"/>
    <w:rsid w:val="005115F8"/>
    <w:rsid w:val="005154D4"/>
    <w:rsid w:val="00515AF1"/>
    <w:rsid w:val="00526C2A"/>
    <w:rsid w:val="00541FDF"/>
    <w:rsid w:val="005455A2"/>
    <w:rsid w:val="00552264"/>
    <w:rsid w:val="00562725"/>
    <w:rsid w:val="0057201E"/>
    <w:rsid w:val="005724A3"/>
    <w:rsid w:val="00587FE5"/>
    <w:rsid w:val="00592CC9"/>
    <w:rsid w:val="00597DCA"/>
    <w:rsid w:val="005C11F5"/>
    <w:rsid w:val="005C3E4F"/>
    <w:rsid w:val="00603F7C"/>
    <w:rsid w:val="00617A41"/>
    <w:rsid w:val="00626C31"/>
    <w:rsid w:val="00656733"/>
    <w:rsid w:val="006647F3"/>
    <w:rsid w:val="00684CAE"/>
    <w:rsid w:val="006A0555"/>
    <w:rsid w:val="006A625D"/>
    <w:rsid w:val="006B3051"/>
    <w:rsid w:val="006B368D"/>
    <w:rsid w:val="006C58CC"/>
    <w:rsid w:val="006E4CDD"/>
    <w:rsid w:val="0070235E"/>
    <w:rsid w:val="00721127"/>
    <w:rsid w:val="00725196"/>
    <w:rsid w:val="007411ED"/>
    <w:rsid w:val="007613BA"/>
    <w:rsid w:val="0079038A"/>
    <w:rsid w:val="00790F9D"/>
    <w:rsid w:val="00791708"/>
    <w:rsid w:val="007B623C"/>
    <w:rsid w:val="007D5CFA"/>
    <w:rsid w:val="00814324"/>
    <w:rsid w:val="00821128"/>
    <w:rsid w:val="00827DFB"/>
    <w:rsid w:val="00831778"/>
    <w:rsid w:val="008328BE"/>
    <w:rsid w:val="008424F1"/>
    <w:rsid w:val="00872AE2"/>
    <w:rsid w:val="008737D0"/>
    <w:rsid w:val="00883668"/>
    <w:rsid w:val="008A6FB5"/>
    <w:rsid w:val="008B4AE5"/>
    <w:rsid w:val="008C0D05"/>
    <w:rsid w:val="008D5BE1"/>
    <w:rsid w:val="008E27B9"/>
    <w:rsid w:val="008E4C06"/>
    <w:rsid w:val="008F1184"/>
    <w:rsid w:val="008F5994"/>
    <w:rsid w:val="00914500"/>
    <w:rsid w:val="009332C9"/>
    <w:rsid w:val="00934926"/>
    <w:rsid w:val="009438DC"/>
    <w:rsid w:val="00964398"/>
    <w:rsid w:val="009670BE"/>
    <w:rsid w:val="0097052F"/>
    <w:rsid w:val="009768B6"/>
    <w:rsid w:val="009912E7"/>
    <w:rsid w:val="009923CC"/>
    <w:rsid w:val="00992F86"/>
    <w:rsid w:val="00995862"/>
    <w:rsid w:val="009A2FD0"/>
    <w:rsid w:val="009A3157"/>
    <w:rsid w:val="009A3DF2"/>
    <w:rsid w:val="009B165F"/>
    <w:rsid w:val="009C68C4"/>
    <w:rsid w:val="009D0A74"/>
    <w:rsid w:val="00A32E54"/>
    <w:rsid w:val="00A36E0F"/>
    <w:rsid w:val="00A45E48"/>
    <w:rsid w:val="00A462F3"/>
    <w:rsid w:val="00A47DAA"/>
    <w:rsid w:val="00A53C82"/>
    <w:rsid w:val="00A735F7"/>
    <w:rsid w:val="00AA1183"/>
    <w:rsid w:val="00AA6D86"/>
    <w:rsid w:val="00AC1584"/>
    <w:rsid w:val="00AE1A9C"/>
    <w:rsid w:val="00AF2470"/>
    <w:rsid w:val="00B12988"/>
    <w:rsid w:val="00B1410E"/>
    <w:rsid w:val="00B167BD"/>
    <w:rsid w:val="00B1692F"/>
    <w:rsid w:val="00B179BF"/>
    <w:rsid w:val="00B23FF5"/>
    <w:rsid w:val="00B3409A"/>
    <w:rsid w:val="00B4195B"/>
    <w:rsid w:val="00B41E14"/>
    <w:rsid w:val="00B5465B"/>
    <w:rsid w:val="00B5503E"/>
    <w:rsid w:val="00B77EA2"/>
    <w:rsid w:val="00B92094"/>
    <w:rsid w:val="00BA069C"/>
    <w:rsid w:val="00BA7DBC"/>
    <w:rsid w:val="00BB5AD2"/>
    <w:rsid w:val="00BB5CD8"/>
    <w:rsid w:val="00BB79FD"/>
    <w:rsid w:val="00BC0113"/>
    <w:rsid w:val="00BC55D2"/>
    <w:rsid w:val="00BD5CCF"/>
    <w:rsid w:val="00BD622A"/>
    <w:rsid w:val="00BE28E6"/>
    <w:rsid w:val="00BE2A7B"/>
    <w:rsid w:val="00C061DC"/>
    <w:rsid w:val="00C10948"/>
    <w:rsid w:val="00C152B8"/>
    <w:rsid w:val="00C1647E"/>
    <w:rsid w:val="00C2735C"/>
    <w:rsid w:val="00C329D6"/>
    <w:rsid w:val="00C544E9"/>
    <w:rsid w:val="00C61B34"/>
    <w:rsid w:val="00C674E9"/>
    <w:rsid w:val="00C75BA7"/>
    <w:rsid w:val="00C84233"/>
    <w:rsid w:val="00C90F50"/>
    <w:rsid w:val="00CA789C"/>
    <w:rsid w:val="00CB0934"/>
    <w:rsid w:val="00CC3263"/>
    <w:rsid w:val="00CD0C6E"/>
    <w:rsid w:val="00CD6B1E"/>
    <w:rsid w:val="00CF5276"/>
    <w:rsid w:val="00CF5D6A"/>
    <w:rsid w:val="00CF6CE0"/>
    <w:rsid w:val="00D034D6"/>
    <w:rsid w:val="00D17A99"/>
    <w:rsid w:val="00D47A2C"/>
    <w:rsid w:val="00D56685"/>
    <w:rsid w:val="00D8364E"/>
    <w:rsid w:val="00D9258C"/>
    <w:rsid w:val="00DA393E"/>
    <w:rsid w:val="00DA6BA4"/>
    <w:rsid w:val="00DB5541"/>
    <w:rsid w:val="00DC7D29"/>
    <w:rsid w:val="00E54DDB"/>
    <w:rsid w:val="00E70B4B"/>
    <w:rsid w:val="00E71E26"/>
    <w:rsid w:val="00E77C65"/>
    <w:rsid w:val="00E83F85"/>
    <w:rsid w:val="00E9468D"/>
    <w:rsid w:val="00EE08B5"/>
    <w:rsid w:val="00EE2775"/>
    <w:rsid w:val="00EE3652"/>
    <w:rsid w:val="00EF0C35"/>
    <w:rsid w:val="00F01582"/>
    <w:rsid w:val="00F21BF7"/>
    <w:rsid w:val="00F317D2"/>
    <w:rsid w:val="00F33C19"/>
    <w:rsid w:val="00F52604"/>
    <w:rsid w:val="00F90777"/>
    <w:rsid w:val="00F90D9B"/>
    <w:rsid w:val="00FA3CD5"/>
    <w:rsid w:val="00FB4469"/>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633C23-9D8E-4284-B130-0463E4BD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E27B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E27B9"/>
    <w:rPr>
      <w:rFonts w:asciiTheme="majorHAnsi" w:eastAsiaTheme="majorEastAsia" w:hAnsiTheme="majorHAnsi" w:cstheme="majorBidi"/>
      <w:sz w:val="18"/>
      <w:szCs w:val="18"/>
    </w:rPr>
  </w:style>
  <w:style w:type="paragraph" w:styleId="a9">
    <w:name w:val="List Paragraph"/>
    <w:basedOn w:val="a"/>
    <w:uiPriority w:val="34"/>
    <w:qFormat/>
    <w:rsid w:val="00B5465B"/>
    <w:pPr>
      <w:ind w:leftChars="200" w:left="480"/>
    </w:pPr>
  </w:style>
  <w:style w:type="paragraph" w:styleId="Web">
    <w:name w:val="Normal (Web)"/>
    <w:basedOn w:val="a"/>
    <w:uiPriority w:val="99"/>
    <w:semiHidden/>
    <w:unhideWhenUsed/>
    <w:rsid w:val="009A3157"/>
    <w:pPr>
      <w:widowControl/>
      <w:spacing w:before="100" w:beforeAutospacing="1" w:after="100" w:afterAutospacing="1"/>
      <w:ind w:leftChars="0" w:left="0" w:firstLineChars="0" w:firstLine="0"/>
    </w:pPr>
    <w:rPr>
      <w:rFonts w:ascii="新細明體" w:eastAsia="新細明體" w:hAnsi="新細明體" w:cs="新細明體"/>
      <w:kern w:val="0"/>
      <w:szCs w:val="24"/>
    </w:rPr>
  </w:style>
  <w:style w:type="character" w:styleId="aa">
    <w:name w:val="Hyperlink"/>
    <w:basedOn w:val="a0"/>
    <w:uiPriority w:val="99"/>
    <w:semiHidden/>
    <w:unhideWhenUsed/>
    <w:rsid w:val="00D56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797866">
      <w:bodyDiv w:val="1"/>
      <w:marLeft w:val="0"/>
      <w:marRight w:val="0"/>
      <w:marTop w:val="0"/>
      <w:marBottom w:val="0"/>
      <w:divBdr>
        <w:top w:val="none" w:sz="0" w:space="0" w:color="auto"/>
        <w:left w:val="none" w:sz="0" w:space="0" w:color="auto"/>
        <w:bottom w:val="none" w:sz="0" w:space="0" w:color="auto"/>
        <w:right w:val="none" w:sz="0" w:space="0" w:color="auto"/>
      </w:divBdr>
    </w:div>
    <w:div w:id="130593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mbalib.com/zh-tw/%E6%8A%95%E8%B5%84%E6%96%B9%E6%A1%88"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iki.mbalib.com/zh-tw/%E6%8A%95%E8%B5%84%E7%9B%AE%E6%A0%87"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iki.mbalib.com/zh-tw/%E6%8A%95%E8%B5%84%E7%8E%AF%E5%A2%83"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2</cp:revision>
  <cp:lastPrinted>2017-12-11T07:07:00Z</cp:lastPrinted>
  <dcterms:created xsi:type="dcterms:W3CDTF">2020-02-13T07:02:00Z</dcterms:created>
  <dcterms:modified xsi:type="dcterms:W3CDTF">2020-02-13T07:02:00Z</dcterms:modified>
</cp:coreProperties>
</file>