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12988">
        <w:rPr>
          <w:rFonts w:ascii="Times New Roman" w:eastAsia="標楷體" w:hAnsi="標楷體" w:hint="eastAsia"/>
          <w:b/>
          <w:sz w:val="32"/>
          <w:szCs w:val="32"/>
        </w:rPr>
        <w:t>中程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B1298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配合產業需求，培育學院特色人才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金融科技與投資評估人才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4E4A73" w:rsidRDefault="00B12988" w:rsidP="004E4A7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D84E5A">
              <w:rPr>
                <w:rFonts w:ascii="Times New Roman" w:eastAsia="標楷體" w:hAnsi="Times New Roman" w:hint="eastAsia"/>
                <w:szCs w:val="24"/>
              </w:rPr>
              <w:t>謝俊老師「</w:t>
            </w:r>
            <w:r w:rsidR="00D84E5A" w:rsidRPr="00E93644"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美中貿易</w:t>
            </w:r>
            <w:r w:rsidR="00D84E5A" w:rsidRPr="00E93644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戰下對於台積電的影響</w:t>
            </w:r>
            <w:r w:rsidR="00D84E5A"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1649E9" w:rsidRPr="00DA6BA4">
              <w:rPr>
                <w:rFonts w:ascii="標楷體" w:eastAsia="標楷體" w:hAnsi="標楷體" w:hint="eastAsia"/>
              </w:rPr>
              <w:t>8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D84E5A">
              <w:rPr>
                <w:rFonts w:ascii="標楷體" w:eastAsia="標楷體" w:hAnsi="標楷體" w:hint="eastAsia"/>
              </w:rPr>
              <w:t>12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D84E5A">
              <w:rPr>
                <w:rFonts w:ascii="標楷體" w:eastAsia="標楷體" w:hAnsi="標楷體" w:hint="eastAsia"/>
              </w:rPr>
              <w:t>11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A008E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A008E7">
              <w:rPr>
                <w:rFonts w:ascii="標楷體" w:eastAsia="標楷體" w:hAnsi="標楷體" w:hint="eastAsia"/>
              </w:rPr>
              <w:t>511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4843BB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D84E5A">
              <w:rPr>
                <w:rFonts w:ascii="Times New Roman" w:eastAsia="標楷體" w:hAnsi="Times New Roman" w:hint="eastAsia"/>
                <w:szCs w:val="24"/>
              </w:rPr>
              <w:t>謝俊</w:t>
            </w:r>
            <w:r w:rsidR="004843BB">
              <w:rPr>
                <w:rFonts w:ascii="Times New Roman" w:eastAsia="標楷體" w:hAnsi="Times New Roman" w:hint="eastAsia"/>
                <w:szCs w:val="24"/>
              </w:rPr>
              <w:t>老師</w:t>
            </w:r>
            <w:bookmarkStart w:id="0" w:name="_GoBack"/>
            <w:r w:rsidR="004843BB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84E5A" w:rsidRPr="00E93644"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美中貿易</w:t>
            </w:r>
            <w:r w:rsidR="00D84E5A" w:rsidRPr="00E93644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戰下對於台積電的影響</w:t>
            </w:r>
            <w:r w:rsidR="004843BB">
              <w:rPr>
                <w:rFonts w:ascii="Times New Roman" w:eastAsia="標楷體" w:hAnsi="Times New Roman" w:hint="eastAsia"/>
                <w:szCs w:val="24"/>
              </w:rPr>
              <w:t>」</w:t>
            </w:r>
            <w:bookmarkEnd w:id="0"/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D84E5A">
              <w:rPr>
                <w:rFonts w:ascii="標楷體" w:eastAsia="標楷體" w:hAnsi="標楷體" w:hint="eastAsia"/>
                <w:u w:val="single"/>
              </w:rPr>
              <w:t>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D84E5A">
              <w:rPr>
                <w:rFonts w:ascii="標楷體" w:eastAsia="標楷體" w:hAnsi="標楷體" w:hint="eastAsia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4E4A73" w:rsidRPr="004F456F" w:rsidRDefault="004E4A73" w:rsidP="004E4A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D84E5A" w:rsidRDefault="00D84E5A" w:rsidP="00D84E5A">
            <w:pPr>
              <w:ind w:left="120" w:firstLineChars="200" w:firstLine="540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E93644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美中貿易戰中逐漸會延伸為</w:t>
            </w:r>
            <w:r w:rsidRPr="00E9364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晶圓</w:t>
            </w:r>
            <w:r w:rsidRPr="00E93644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戰，身為</w:t>
            </w:r>
            <w:r w:rsidRPr="00E9364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晶圓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龍頭的台積電將為</w:t>
            </w:r>
            <w:r w:rsidRPr="00E93644"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美中貿易</w:t>
            </w:r>
            <w:r w:rsidRPr="00E93644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戰</w:t>
            </w:r>
            <w:r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受重大影響的企業，從年初的報告中指出短期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台積電將</w:t>
            </w:r>
            <w:r w:rsidRPr="00E93644"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美中</w:t>
            </w:r>
            <w:r w:rsidRPr="001008A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競爭下的犧牲品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，不過</w:t>
            </w:r>
            <w:r w:rsidRPr="003562A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中美貿易戰結果一旦塵埃落定，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講師</w:t>
            </w:r>
            <w:r w:rsidRPr="003562A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進一步推測，中國半導體產業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在</w:t>
            </w:r>
            <w:r w:rsidRPr="003562A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未來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並</w:t>
            </w:r>
            <w:r w:rsidRPr="003562A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不會像過去大肆擴張，而</w:t>
            </w:r>
            <w:r w:rsidRPr="00E93644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台積電</w:t>
            </w:r>
            <w:r w:rsidRPr="00E9364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晶圓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相關企業</w:t>
            </w:r>
            <w:r w:rsidRPr="003562A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財務體質又相對健全，這樣的狀況或許對台灣相對有利，等於是「川普間接幫忙台灣的產業」。</w:t>
            </w:r>
          </w:p>
          <w:p w:rsidR="00D84E5A" w:rsidRDefault="00D84E5A" w:rsidP="00D84E5A">
            <w:pPr>
              <w:ind w:left="120" w:firstLineChars="200" w:firstLine="480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聽完講座後我從台積電2019第三季財報中發現出台積電對與美國和中國與2018第三季財報相比都呈現成長的現象。顯示出台積電由於晶圓技術上的優勢與</w:t>
            </w:r>
            <w:r w:rsidRPr="003562A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財務體質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優質使台積電非但未受到中美貿易戰影響，反而利用其優勢在中美兩國中賺取其利潤。</w:t>
            </w:r>
          </w:p>
          <w:p w:rsidR="00DA6BA4" w:rsidRPr="00DA6BA4" w:rsidRDefault="00DA6BA4" w:rsidP="004E4A7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4843BB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4843BB" w:rsidRPr="00CD6B06" w:rsidRDefault="004843BB" w:rsidP="004843BB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4843BB" w:rsidRPr="003125AC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BB" w:rsidRPr="003125AC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843BB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4843BB" w:rsidRPr="00E57E73" w:rsidRDefault="00D84E5A" w:rsidP="004843BB">
            <w:pPr>
              <w:ind w:left="360" w:hanging="240"/>
              <w:jc w:val="both"/>
              <w:rPr>
                <w:rFonts w:ascii="Times New Roman" w:hAnsi="Times New Roman"/>
              </w:rPr>
            </w:pPr>
            <w:r w:rsidRPr="00D84E5A">
              <w:rPr>
                <w:noProof/>
              </w:rPr>
              <w:drawing>
                <wp:inline distT="0" distB="0" distL="0" distR="0" wp14:anchorId="297DEA48" wp14:editId="5E91A23F">
                  <wp:extent cx="2401083" cy="1800000"/>
                  <wp:effectExtent l="0" t="0" r="0" b="0"/>
                  <wp:docPr id="8" name="圖片 8" descr="J:\D槽 更新 106.11\財金系 活動 照片\1071017 謝明仁老師\1017704教室_181030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71017 謝明仁老師\1017704教室_181030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3BB" w:rsidRPr="00E57E73" w:rsidRDefault="004843BB" w:rsidP="004843BB">
            <w:pPr>
              <w:ind w:left="360" w:hanging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3BB" w:rsidRPr="00E57E73" w:rsidRDefault="00D84E5A" w:rsidP="004843BB">
            <w:pPr>
              <w:ind w:left="360" w:hanging="240"/>
              <w:jc w:val="both"/>
              <w:rPr>
                <w:rFonts w:ascii="Times New Roman" w:hAnsi="Times New Roman"/>
              </w:rPr>
            </w:pPr>
            <w:r w:rsidRPr="00D84E5A">
              <w:rPr>
                <w:noProof/>
              </w:rPr>
              <w:drawing>
                <wp:inline distT="0" distB="0" distL="0" distR="0" wp14:anchorId="5ECFB933" wp14:editId="6200C20D">
                  <wp:extent cx="2401083" cy="1800000"/>
                  <wp:effectExtent l="0" t="0" r="0" b="0"/>
                  <wp:docPr id="7" name="圖片 7" descr="J:\D槽 更新 106.11\財金系 活動 照片\1071017 謝明仁老師\1017704教室_181030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71017 謝明仁老師\1017704教室_181030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BB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4843BB" w:rsidRPr="00772F88" w:rsidRDefault="00D84E5A" w:rsidP="004843BB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D84E5A">
              <w:rPr>
                <w:noProof/>
              </w:rPr>
              <w:drawing>
                <wp:inline distT="0" distB="0" distL="0" distR="0" wp14:anchorId="70D3D41F" wp14:editId="097D946A">
                  <wp:extent cx="2401083" cy="1800000"/>
                  <wp:effectExtent l="0" t="0" r="0" b="0"/>
                  <wp:docPr id="6" name="圖片 6" descr="J:\D槽 更新 106.11\財金系 活動 照片\1071017 謝明仁老師\1017704教室_181030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71017 謝明仁老師\1017704教室_181030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3BB" w:rsidRPr="00772F88" w:rsidRDefault="00D84E5A" w:rsidP="004843B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D84E5A">
              <w:rPr>
                <w:noProof/>
              </w:rPr>
              <w:drawing>
                <wp:inline distT="0" distB="0" distL="0" distR="0" wp14:anchorId="14B592C3" wp14:editId="14CC0B13">
                  <wp:extent cx="2401083" cy="1800000"/>
                  <wp:effectExtent l="0" t="0" r="0" b="0"/>
                  <wp:docPr id="5" name="圖片 5" descr="J:\D槽 更新 106.11\財金系 活動 照片\1071017 謝明仁老師\1017704教室_181030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71017 謝明仁老師\1017704教室_181030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50" w:rsidRDefault="00D30E50" w:rsidP="00B23FF5">
      <w:pPr>
        <w:ind w:left="360" w:hanging="240"/>
      </w:pPr>
      <w:r>
        <w:separator/>
      </w:r>
    </w:p>
  </w:endnote>
  <w:endnote w:type="continuationSeparator" w:id="0">
    <w:p w:rsidR="00D30E50" w:rsidRDefault="00D30E5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0E5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082" w:rsidRPr="000D208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30E5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0E5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50" w:rsidRDefault="00D30E50" w:rsidP="00B23FF5">
      <w:pPr>
        <w:ind w:left="360" w:hanging="240"/>
      </w:pPr>
      <w:r>
        <w:separator/>
      </w:r>
    </w:p>
  </w:footnote>
  <w:footnote w:type="continuationSeparator" w:id="0">
    <w:p w:rsidR="00D30E50" w:rsidRDefault="00D30E5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0E5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0E5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0E5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80EF3"/>
    <w:rsid w:val="00092FC2"/>
    <w:rsid w:val="000D2082"/>
    <w:rsid w:val="000D26DA"/>
    <w:rsid w:val="000D6B66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B71DC"/>
    <w:rsid w:val="00330FED"/>
    <w:rsid w:val="00354423"/>
    <w:rsid w:val="003645C9"/>
    <w:rsid w:val="00367C50"/>
    <w:rsid w:val="0038462E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843BB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4A73"/>
    <w:rsid w:val="004E539A"/>
    <w:rsid w:val="004F085E"/>
    <w:rsid w:val="005115F8"/>
    <w:rsid w:val="005154D4"/>
    <w:rsid w:val="00515AF1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C11F5"/>
    <w:rsid w:val="005C3E4F"/>
    <w:rsid w:val="00603F7C"/>
    <w:rsid w:val="00617A41"/>
    <w:rsid w:val="00626C31"/>
    <w:rsid w:val="00656733"/>
    <w:rsid w:val="006647F3"/>
    <w:rsid w:val="00684CAE"/>
    <w:rsid w:val="006A0555"/>
    <w:rsid w:val="006A625D"/>
    <w:rsid w:val="006B3051"/>
    <w:rsid w:val="006B368D"/>
    <w:rsid w:val="006C58CC"/>
    <w:rsid w:val="006E4CDD"/>
    <w:rsid w:val="0070235E"/>
    <w:rsid w:val="00721127"/>
    <w:rsid w:val="00725196"/>
    <w:rsid w:val="007411ED"/>
    <w:rsid w:val="007613BA"/>
    <w:rsid w:val="0079038A"/>
    <w:rsid w:val="00790F9D"/>
    <w:rsid w:val="00791708"/>
    <w:rsid w:val="007B623C"/>
    <w:rsid w:val="007D5CFA"/>
    <w:rsid w:val="0080261B"/>
    <w:rsid w:val="00814324"/>
    <w:rsid w:val="00821128"/>
    <w:rsid w:val="00831778"/>
    <w:rsid w:val="008328BE"/>
    <w:rsid w:val="008424F1"/>
    <w:rsid w:val="00872AE2"/>
    <w:rsid w:val="008737D0"/>
    <w:rsid w:val="00883668"/>
    <w:rsid w:val="008A204D"/>
    <w:rsid w:val="008A6FB5"/>
    <w:rsid w:val="008B4AE5"/>
    <w:rsid w:val="008C0D05"/>
    <w:rsid w:val="008D5BE1"/>
    <w:rsid w:val="008E27B9"/>
    <w:rsid w:val="008E4C06"/>
    <w:rsid w:val="008F1184"/>
    <w:rsid w:val="008F5994"/>
    <w:rsid w:val="009112D0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D0A74"/>
    <w:rsid w:val="00A008E7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55E20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52385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6B1E"/>
    <w:rsid w:val="00CF5276"/>
    <w:rsid w:val="00CF5D6A"/>
    <w:rsid w:val="00CF6CE0"/>
    <w:rsid w:val="00D034D6"/>
    <w:rsid w:val="00D06C71"/>
    <w:rsid w:val="00D17A99"/>
    <w:rsid w:val="00D30E50"/>
    <w:rsid w:val="00D47A2C"/>
    <w:rsid w:val="00D8364E"/>
    <w:rsid w:val="00D84E5A"/>
    <w:rsid w:val="00D9258C"/>
    <w:rsid w:val="00DA393E"/>
    <w:rsid w:val="00DA6BA4"/>
    <w:rsid w:val="00DB5541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2A47-FFEB-4A16-898A-867D9E45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2017-12-11T07:07:00Z</cp:lastPrinted>
  <dcterms:created xsi:type="dcterms:W3CDTF">2020-02-13T07:01:00Z</dcterms:created>
  <dcterms:modified xsi:type="dcterms:W3CDTF">2020-02-13T07:01:00Z</dcterms:modified>
</cp:coreProperties>
</file>