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4593"/>
        <w:gridCol w:w="4806"/>
      </w:tblGrid>
      <w:tr w:rsidR="006B1EC0" w:rsidRPr="001C1E24" w:rsidTr="006B1EC0">
        <w:trPr>
          <w:trHeight w:val="567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B43ABB">
            <w:pPr>
              <w:ind w:leftChars="20" w:left="146" w:hangingChars="41" w:hanging="98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939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E67932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1091 B4-3 智慧工廠人材培育:工學院(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化材系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6B1EC0" w:rsidRPr="001C1E24" w:rsidTr="006B1EC0">
        <w:trPr>
          <w:trHeight w:val="567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43ABB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</w:t>
            </w:r>
          </w:p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作法</w:t>
            </w:r>
          </w:p>
        </w:tc>
        <w:tc>
          <w:tcPr>
            <w:tcW w:w="939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E42779" w:rsidP="008D7365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材料與化學程序工業概論業師授課</w:t>
            </w:r>
            <w:r w:rsidR="004C3987">
              <w:rPr>
                <w:rFonts w:ascii="Times New Roman" w:eastAsia="標楷體" w:hAnsi="Times New Roman" w:hint="eastAsia"/>
                <w:szCs w:val="24"/>
              </w:rPr>
              <w:t>4</w:t>
            </w:r>
          </w:p>
        </w:tc>
      </w:tr>
      <w:tr w:rsidR="006B1EC0" w:rsidRPr="001C1E24" w:rsidTr="006B1EC0">
        <w:trPr>
          <w:trHeight w:val="429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939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04D4" w:rsidRDefault="005E37C0" w:rsidP="003868F1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粉末冶金技術與產業介紹</w:t>
            </w:r>
          </w:p>
          <w:p w:rsidR="005154D4" w:rsidRPr="003868F1" w:rsidRDefault="005154D4" w:rsidP="003868F1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B1EC0" w:rsidRPr="001C1E24" w:rsidTr="006B1EC0">
        <w:trPr>
          <w:trHeight w:val="3628"/>
          <w:jc w:val="center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39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D540DB">
              <w:rPr>
                <w:rFonts w:eastAsia="標楷體" w:hint="eastAsia"/>
              </w:rPr>
              <w:t>工學院化學工程與材料工程學系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D540DB">
              <w:rPr>
                <w:rFonts w:eastAsia="標楷體" w:hint="eastAsia"/>
              </w:rPr>
              <w:t>109</w:t>
            </w:r>
            <w:r w:rsidR="00D540DB">
              <w:rPr>
                <w:rFonts w:eastAsia="標楷體" w:hint="eastAsia"/>
              </w:rPr>
              <w:t>年</w:t>
            </w:r>
            <w:r w:rsidR="006604D4">
              <w:rPr>
                <w:rFonts w:eastAsia="標楷體" w:hint="eastAsia"/>
              </w:rPr>
              <w:t>1</w:t>
            </w:r>
            <w:r w:rsidR="00D21A40">
              <w:rPr>
                <w:rFonts w:eastAsia="標楷體" w:hint="eastAsia"/>
              </w:rPr>
              <w:t>1</w:t>
            </w:r>
            <w:r w:rsidR="00D540DB">
              <w:rPr>
                <w:rFonts w:eastAsia="標楷體" w:hint="eastAsia"/>
              </w:rPr>
              <w:t>月</w:t>
            </w:r>
            <w:r w:rsidR="005E37C0">
              <w:rPr>
                <w:rFonts w:eastAsia="標楷體" w:hint="eastAsia"/>
              </w:rPr>
              <w:t>24</w:t>
            </w:r>
            <w:r w:rsidR="00D540DB">
              <w:rPr>
                <w:rFonts w:eastAsia="標楷體" w:hint="eastAsia"/>
              </w:rPr>
              <w:t>日</w:t>
            </w:r>
            <w:r w:rsidR="00E42779">
              <w:rPr>
                <w:rFonts w:eastAsia="標楷體" w:hint="eastAsia"/>
              </w:rPr>
              <w:t>下</w:t>
            </w:r>
            <w:r w:rsidR="00D540DB">
              <w:rPr>
                <w:rFonts w:eastAsia="標楷體" w:hint="eastAsia"/>
              </w:rPr>
              <w:t>午</w:t>
            </w:r>
            <w:r w:rsidR="00D540DB">
              <w:rPr>
                <w:rFonts w:eastAsia="標楷體" w:hint="eastAsia"/>
              </w:rPr>
              <w:t xml:space="preserve"> </w:t>
            </w:r>
            <w:r w:rsidR="00E42779">
              <w:rPr>
                <w:rFonts w:eastAsia="標楷體" w:hint="eastAsia"/>
              </w:rPr>
              <w:t>15</w:t>
            </w:r>
            <w:r w:rsidR="00D540DB">
              <w:rPr>
                <w:rFonts w:eastAsia="標楷體" w:hint="eastAsia"/>
              </w:rPr>
              <w:t>:00-1</w:t>
            </w:r>
            <w:r w:rsidR="00E42779">
              <w:rPr>
                <w:rFonts w:eastAsia="標楷體" w:hint="eastAsia"/>
              </w:rPr>
              <w:t>8</w:t>
            </w:r>
            <w:r w:rsidR="00D540DB">
              <w:rPr>
                <w:rFonts w:eastAsia="標楷體" w:hint="eastAsia"/>
              </w:rPr>
              <w:t>:00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D540DB">
              <w:rPr>
                <w:rFonts w:eastAsia="標楷體" w:hint="eastAsia"/>
              </w:rPr>
              <w:t>大義</w:t>
            </w:r>
            <w:r w:rsidR="00E42779">
              <w:rPr>
                <w:rFonts w:eastAsia="標楷體" w:hint="eastAsia"/>
              </w:rPr>
              <w:t>630</w:t>
            </w:r>
            <w:r w:rsidR="00D540DB">
              <w:rPr>
                <w:rFonts w:eastAsia="標楷體" w:hint="eastAsia"/>
              </w:rPr>
              <w:t>室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proofErr w:type="gramStart"/>
            <w:r w:rsidR="005E37C0">
              <w:rPr>
                <w:rFonts w:eastAsia="標楷體" w:hint="eastAsia"/>
              </w:rPr>
              <w:t>范</w:t>
            </w:r>
            <w:proofErr w:type="gramEnd"/>
            <w:r w:rsidR="005E37C0">
              <w:rPr>
                <w:rFonts w:eastAsia="標楷體" w:hint="eastAsia"/>
              </w:rPr>
              <w:t>揚</w:t>
            </w:r>
            <w:proofErr w:type="gramStart"/>
            <w:r w:rsidR="005E37C0">
              <w:rPr>
                <w:rFonts w:eastAsia="標楷體" w:hint="eastAsia"/>
              </w:rPr>
              <w:t>樑</w:t>
            </w:r>
            <w:proofErr w:type="gramEnd"/>
            <w:r w:rsidR="00E42779">
              <w:rPr>
                <w:rFonts w:eastAsia="標楷體" w:hint="eastAsia"/>
              </w:rPr>
              <w:t>博士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5E37C0">
              <w:rPr>
                <w:rFonts w:eastAsia="標楷體" w:hint="eastAsia"/>
                <w:u w:val="single"/>
              </w:rPr>
              <w:t>39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D540DB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5E37C0">
              <w:rPr>
                <w:rFonts w:eastAsia="標楷體" w:hint="eastAsia"/>
                <w:u w:val="single"/>
              </w:rPr>
              <w:t>37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F854A6">
              <w:rPr>
                <w:rFonts w:eastAsia="標楷體" w:hint="eastAsia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 w:rsidR="00D540DB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:rsidR="003376B5" w:rsidRPr="00E42779" w:rsidRDefault="005E37C0" w:rsidP="00E42779">
            <w:pPr>
              <w:pStyle w:val="a7"/>
              <w:numPr>
                <w:ilvl w:val="0"/>
                <w:numId w:val="3"/>
              </w:numPr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粉末冶金產品實例介紹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42779" w:rsidRPr="005E37C0" w:rsidRDefault="005E37C0" w:rsidP="00E42779">
            <w:pPr>
              <w:pStyle w:val="a7"/>
              <w:numPr>
                <w:ilvl w:val="0"/>
                <w:numId w:val="3"/>
              </w:numPr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粉末冶金技術簡介</w:t>
            </w:r>
            <w:r w:rsidR="004A62D4">
              <w:rPr>
                <w:rFonts w:ascii="標楷體" w:eastAsia="標楷體" w:hAnsi="標楷體" w:hint="eastAsia"/>
              </w:rPr>
              <w:t>。</w:t>
            </w:r>
          </w:p>
          <w:p w:rsidR="005E37C0" w:rsidRPr="005E37C0" w:rsidRDefault="005E37C0" w:rsidP="00E42779">
            <w:pPr>
              <w:pStyle w:val="a7"/>
              <w:numPr>
                <w:ilvl w:val="0"/>
                <w:numId w:val="3"/>
              </w:numPr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金屬射出成型(MIM)。</w:t>
            </w:r>
          </w:p>
          <w:p w:rsidR="005E37C0" w:rsidRDefault="005E37C0" w:rsidP="00E42779">
            <w:pPr>
              <w:pStyle w:val="a7"/>
              <w:numPr>
                <w:ilvl w:val="0"/>
                <w:numId w:val="3"/>
              </w:numPr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粉末冶金與3D列印(雷射選區燒結)。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:rsidR="00D21A40" w:rsidRPr="004A62D4" w:rsidRDefault="00D21A40" w:rsidP="00774231">
            <w:pPr>
              <w:ind w:leftChars="0" w:firstLineChars="0"/>
              <w:jc w:val="both"/>
              <w:rPr>
                <w:rFonts w:eastAsia="標楷體"/>
              </w:rPr>
            </w:pPr>
            <w:r w:rsidRPr="004A62D4">
              <w:rPr>
                <w:rFonts w:eastAsia="標楷體" w:hint="eastAsia"/>
              </w:rPr>
              <w:t>讓學生對於</w:t>
            </w:r>
            <w:r w:rsidR="00774231">
              <w:rPr>
                <w:rFonts w:eastAsia="標楷體" w:hint="eastAsia"/>
              </w:rPr>
              <w:t>粉末原理與粉末冶金產業概況與金屬射出成形之技術有深入的了解</w:t>
            </w:r>
            <w:r w:rsidR="00774231">
              <w:rPr>
                <w:rFonts w:ascii="標楷體" w:eastAsia="標楷體" w:hAnsi="標楷體" w:hint="eastAsia"/>
              </w:rPr>
              <w:t>。</w:t>
            </w:r>
          </w:p>
          <w:p w:rsidR="003376B5" w:rsidRPr="00D21A40" w:rsidRDefault="003376B5" w:rsidP="00774231">
            <w:pPr>
              <w:ind w:leftChars="0" w:left="0" w:firstLineChars="0" w:firstLine="0"/>
              <w:jc w:val="both"/>
              <w:rPr>
                <w:rFonts w:eastAsia="標楷體" w:hint="eastAsia"/>
              </w:rPr>
            </w:pPr>
          </w:p>
        </w:tc>
      </w:tr>
      <w:tr w:rsidR="006B1EC0" w:rsidRPr="004F456F" w:rsidTr="006B1EC0">
        <w:trPr>
          <w:trHeight w:val="753"/>
          <w:jc w:val="center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3ABB" w:rsidRDefault="005154D4" w:rsidP="005D1203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</w:t>
            </w:r>
          </w:p>
          <w:p w:rsidR="00B43ABB" w:rsidRDefault="005154D4" w:rsidP="005D1203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動</w:t>
            </w:r>
          </w:p>
          <w:p w:rsidR="005D1203" w:rsidRDefault="005D1203" w:rsidP="005D1203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照</w:t>
            </w:r>
          </w:p>
          <w:p w:rsidR="005154D4" w:rsidRDefault="005154D4" w:rsidP="005D1203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片</w:t>
            </w:r>
          </w:p>
          <w:p w:rsidR="005154D4" w:rsidRPr="00CD6B06" w:rsidRDefault="005154D4" w:rsidP="00D21A40">
            <w:pPr>
              <w:ind w:left="360" w:hanging="240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5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8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6B1EC0" w:rsidRPr="004F456F" w:rsidTr="006B1EC0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593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6F54F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6F54FA">
              <w:rPr>
                <w:noProof/>
              </w:rPr>
              <w:drawing>
                <wp:inline distT="0" distB="0" distL="0" distR="0" wp14:anchorId="71F2377C" wp14:editId="7447769F">
                  <wp:extent cx="2619375" cy="1628775"/>
                  <wp:effectExtent l="0" t="0" r="9525" b="9525"/>
                  <wp:docPr id="1" name="圖片 1" descr="C:\Users\first\Desktop\109經費請款\1091材料與化學程序更業概論請款\1091124地4次成果\1091124范揚樑第1次成果紀錄\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rst\Desktop\109經費請款\1091材料與化學程序更業概論請款\1091124地4次成果\1091124范揚樑第1次成果紀錄\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022" cy="1636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801CA1" w:rsidP="006B1EC0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 w:rsidRPr="00801CA1">
              <w:rPr>
                <w:noProof/>
              </w:rPr>
              <w:drawing>
                <wp:inline distT="0" distB="0" distL="0" distR="0" wp14:anchorId="0E0C247C" wp14:editId="02E051D0">
                  <wp:extent cx="2847340" cy="1619250"/>
                  <wp:effectExtent l="0" t="0" r="0" b="0"/>
                  <wp:docPr id="2" name="圖片 2" descr="C:\Users\first\Desktop\109經費請款\1091材料與化學程序更業概論請款\1091124地4次成果\1091124范揚樑第1次成果紀錄\P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rst\Desktop\109經費請款\1091材料與化學程序更業概論請款\1091124地4次成果\1091124范揚樑第1次成果紀錄\P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193" cy="1636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1EC0" w:rsidRPr="004F456F" w:rsidTr="006B1EC0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593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F42C2C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48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F42C2C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上課情形二</w:t>
            </w:r>
          </w:p>
        </w:tc>
      </w:tr>
      <w:tr w:rsidR="006B1EC0" w:rsidRPr="004F456F" w:rsidTr="006B1EC0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593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156FA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156FAF">
              <w:rPr>
                <w:noProof/>
              </w:rPr>
              <w:drawing>
                <wp:inline distT="0" distB="0" distL="0" distR="0" wp14:anchorId="2F26EBCF" wp14:editId="03312C5C">
                  <wp:extent cx="2657475" cy="1609725"/>
                  <wp:effectExtent l="0" t="0" r="9525" b="9525"/>
                  <wp:docPr id="4" name="圖片 4" descr="C:\Users\first\Desktop\109經費請款\1091材料與化學程序更業概論請款\1091124地4次成果\1091124范揚樑第1次成果紀錄\P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rst\Desktop\109經費請款\1091材料與化學程序更業概論請款\1091124地4次成果\1091124范揚樑第1次成果紀錄\P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15" cy="1621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E93078" w:rsidP="00B43ABB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 w:rsidRPr="00E93078">
              <w:rPr>
                <w:noProof/>
              </w:rPr>
              <w:drawing>
                <wp:inline distT="0" distB="0" distL="0" distR="0" wp14:anchorId="56EC12B1" wp14:editId="39960650">
                  <wp:extent cx="2800350" cy="1637665"/>
                  <wp:effectExtent l="0" t="0" r="0" b="635"/>
                  <wp:docPr id="8" name="圖片 8" descr="C:\Users\first\Desktop\109經費請款\1091材料與化學程序更業概論請款\1091124地4次成果\1091124范揚樑第1次成果紀錄\P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rst\Desktop\109經費請款\1091材料與化學程序更業概論請款\1091124地4次成果\1091124范揚樑第1次成果紀錄\P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1058" cy="1655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1EC0" w:rsidRPr="004F456F" w:rsidTr="006B1EC0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593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F42C2C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上課情形三</w:t>
            </w:r>
          </w:p>
        </w:tc>
        <w:tc>
          <w:tcPr>
            <w:tcW w:w="48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0A6629" w:rsidP="00D21A40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上課情形四</w:t>
            </w:r>
          </w:p>
        </w:tc>
      </w:tr>
      <w:tr w:rsidR="005154D4" w:rsidRPr="006C39E0" w:rsidTr="006B1E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518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6B1EC0" w:rsidRPr="006C39E0" w:rsidTr="006B1E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119" w:type="dxa"/>
            <w:vMerge w:val="restart"/>
            <w:shd w:val="clear" w:color="auto" w:fill="auto"/>
            <w:vAlign w:val="center"/>
          </w:tcPr>
          <w:p w:rsidR="005D1203" w:rsidRDefault="005D1203" w:rsidP="005D1203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附</w:t>
            </w:r>
          </w:p>
          <w:p w:rsidR="005D1203" w:rsidRDefault="005D1203" w:rsidP="005D1203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件</w:t>
            </w:r>
          </w:p>
          <w:p w:rsidR="005D1203" w:rsidRDefault="005154D4" w:rsidP="005D1203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3125AC">
              <w:rPr>
                <w:rFonts w:ascii="標楷體" w:eastAsia="標楷體" w:hAnsi="標楷體" w:hint="eastAsia"/>
                <w:b/>
              </w:rPr>
              <w:t>檔</w:t>
            </w:r>
            <w:proofErr w:type="gramEnd"/>
          </w:p>
          <w:p w:rsidR="005154D4" w:rsidRPr="003125AC" w:rsidRDefault="005D1203" w:rsidP="005D1203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案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6B1EC0" w:rsidRPr="006C39E0" w:rsidTr="006B1E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19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93" w:type="dxa"/>
            <w:shd w:val="clear" w:color="auto" w:fill="auto"/>
            <w:vAlign w:val="center"/>
          </w:tcPr>
          <w:p w:rsidR="005154D4" w:rsidRDefault="00F42C2C" w:rsidP="00F42C2C">
            <w:pPr>
              <w:ind w:leftChars="20" w:left="146" w:hangingChars="41" w:hanging="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P1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5154D4" w:rsidRDefault="00F42C2C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P2</w:t>
            </w:r>
          </w:p>
        </w:tc>
      </w:tr>
      <w:tr w:rsidR="006B1EC0" w:rsidRPr="006C39E0" w:rsidTr="006B1E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19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93" w:type="dxa"/>
            <w:shd w:val="clear" w:color="auto" w:fill="auto"/>
            <w:vAlign w:val="center"/>
          </w:tcPr>
          <w:p w:rsidR="005154D4" w:rsidRDefault="00F42C2C" w:rsidP="006378FC">
            <w:pPr>
              <w:ind w:leftChars="20" w:left="146" w:hangingChars="41" w:hanging="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P3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5154D4" w:rsidRDefault="000A6629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P4</w:t>
            </w:r>
          </w:p>
        </w:tc>
      </w:tr>
    </w:tbl>
    <w:p w:rsidR="00BC55D2" w:rsidRDefault="00BC55D2" w:rsidP="005154D4">
      <w:pPr>
        <w:ind w:left="360" w:hanging="240"/>
      </w:pPr>
    </w:p>
    <w:p w:rsidR="00E27AEA" w:rsidRDefault="00E27AEA" w:rsidP="005154D4">
      <w:pPr>
        <w:ind w:left="360" w:hanging="240"/>
      </w:pPr>
    </w:p>
    <w:p w:rsidR="00E27AEA" w:rsidRDefault="00E27AEA" w:rsidP="005154D4">
      <w:pPr>
        <w:ind w:left="360" w:hanging="240"/>
      </w:pPr>
    </w:p>
    <w:p w:rsidR="00E27AEA" w:rsidRDefault="00E27AEA" w:rsidP="005154D4">
      <w:pPr>
        <w:ind w:left="360" w:hanging="240"/>
      </w:pPr>
    </w:p>
    <w:p w:rsidR="00E27AEA" w:rsidRDefault="00E27AEA" w:rsidP="005154D4">
      <w:pPr>
        <w:ind w:left="360" w:hanging="240"/>
      </w:pPr>
    </w:p>
    <w:p w:rsidR="002472BA" w:rsidRDefault="002472BA" w:rsidP="005154D4">
      <w:pPr>
        <w:ind w:left="360" w:hanging="240"/>
      </w:pPr>
    </w:p>
    <w:p w:rsidR="002472BA" w:rsidRDefault="002472BA" w:rsidP="005154D4">
      <w:pPr>
        <w:ind w:left="360" w:hanging="240"/>
      </w:pPr>
      <w:bookmarkStart w:id="0" w:name="_GoBack"/>
      <w:bookmarkEnd w:id="0"/>
    </w:p>
    <w:sectPr w:rsidR="002472BA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6AD" w:rsidRDefault="007C16AD" w:rsidP="00B23FF5">
      <w:pPr>
        <w:ind w:left="360" w:hanging="240"/>
      </w:pPr>
      <w:r>
        <w:separator/>
      </w:r>
    </w:p>
  </w:endnote>
  <w:endnote w:type="continuationSeparator" w:id="0">
    <w:p w:rsidR="007C16AD" w:rsidRDefault="007C16AD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C16AD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C16AD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C16AD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6AD" w:rsidRDefault="007C16AD" w:rsidP="00B23FF5">
      <w:pPr>
        <w:ind w:left="360" w:hanging="240"/>
      </w:pPr>
      <w:r>
        <w:separator/>
      </w:r>
    </w:p>
  </w:footnote>
  <w:footnote w:type="continuationSeparator" w:id="0">
    <w:p w:rsidR="007C16AD" w:rsidRDefault="007C16AD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C16AD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C16AD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C16AD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D2160"/>
    <w:multiLevelType w:val="hybridMultilevel"/>
    <w:tmpl w:val="293A215A"/>
    <w:lvl w:ilvl="0" w:tplc="5628C6D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388925C0"/>
    <w:multiLevelType w:val="hybridMultilevel"/>
    <w:tmpl w:val="CBE6CDE8"/>
    <w:lvl w:ilvl="0" w:tplc="94DA138A">
      <w:start w:val="1"/>
      <w:numFmt w:val="decimal"/>
      <w:lvlText w:val="(%1)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6C8571D4"/>
    <w:multiLevelType w:val="hybridMultilevel"/>
    <w:tmpl w:val="1C5AFC3E"/>
    <w:lvl w:ilvl="0" w:tplc="FDC07A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7BE13F2B"/>
    <w:multiLevelType w:val="hybridMultilevel"/>
    <w:tmpl w:val="4792FDD4"/>
    <w:lvl w:ilvl="0" w:tplc="2F4E41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0615"/>
    <w:rsid w:val="00017355"/>
    <w:rsid w:val="00033373"/>
    <w:rsid w:val="000370AE"/>
    <w:rsid w:val="00046EC3"/>
    <w:rsid w:val="000562F5"/>
    <w:rsid w:val="000611E4"/>
    <w:rsid w:val="000706CA"/>
    <w:rsid w:val="00080EF3"/>
    <w:rsid w:val="00092FC2"/>
    <w:rsid w:val="000A6629"/>
    <w:rsid w:val="000D26DA"/>
    <w:rsid w:val="000D6B66"/>
    <w:rsid w:val="000E236E"/>
    <w:rsid w:val="000E57E3"/>
    <w:rsid w:val="00101F0F"/>
    <w:rsid w:val="001112E5"/>
    <w:rsid w:val="00113D38"/>
    <w:rsid w:val="00120BF8"/>
    <w:rsid w:val="0012581D"/>
    <w:rsid w:val="001272BF"/>
    <w:rsid w:val="001369F7"/>
    <w:rsid w:val="00141B0A"/>
    <w:rsid w:val="0014348C"/>
    <w:rsid w:val="00150C69"/>
    <w:rsid w:val="0015616E"/>
    <w:rsid w:val="00156FAF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472BA"/>
    <w:rsid w:val="00276E36"/>
    <w:rsid w:val="00277136"/>
    <w:rsid w:val="002775BB"/>
    <w:rsid w:val="002825C8"/>
    <w:rsid w:val="00283886"/>
    <w:rsid w:val="002A50E6"/>
    <w:rsid w:val="002A614C"/>
    <w:rsid w:val="002B1169"/>
    <w:rsid w:val="002D3B22"/>
    <w:rsid w:val="00306343"/>
    <w:rsid w:val="00330FED"/>
    <w:rsid w:val="003376B5"/>
    <w:rsid w:val="00354423"/>
    <w:rsid w:val="003645C9"/>
    <w:rsid w:val="003868F1"/>
    <w:rsid w:val="003A7DBF"/>
    <w:rsid w:val="003C4882"/>
    <w:rsid w:val="003D2B26"/>
    <w:rsid w:val="003F18CC"/>
    <w:rsid w:val="003F2B6A"/>
    <w:rsid w:val="003F61D5"/>
    <w:rsid w:val="003F7A1E"/>
    <w:rsid w:val="00400FA8"/>
    <w:rsid w:val="00410E13"/>
    <w:rsid w:val="004341BC"/>
    <w:rsid w:val="004471C9"/>
    <w:rsid w:val="00457A1E"/>
    <w:rsid w:val="00463D8E"/>
    <w:rsid w:val="004A258D"/>
    <w:rsid w:val="004A29ED"/>
    <w:rsid w:val="004A62D4"/>
    <w:rsid w:val="004B25B2"/>
    <w:rsid w:val="004B4231"/>
    <w:rsid w:val="004B4E40"/>
    <w:rsid w:val="004B7372"/>
    <w:rsid w:val="004C3987"/>
    <w:rsid w:val="004C6020"/>
    <w:rsid w:val="004D60DA"/>
    <w:rsid w:val="004E4531"/>
    <w:rsid w:val="004E539A"/>
    <w:rsid w:val="004F085E"/>
    <w:rsid w:val="00506587"/>
    <w:rsid w:val="005154D4"/>
    <w:rsid w:val="00515AF1"/>
    <w:rsid w:val="00533365"/>
    <w:rsid w:val="00552264"/>
    <w:rsid w:val="00562725"/>
    <w:rsid w:val="00566606"/>
    <w:rsid w:val="0057201E"/>
    <w:rsid w:val="005724A3"/>
    <w:rsid w:val="00592CC9"/>
    <w:rsid w:val="00596235"/>
    <w:rsid w:val="00597DCA"/>
    <w:rsid w:val="005B31B0"/>
    <w:rsid w:val="005C11F5"/>
    <w:rsid w:val="005D1203"/>
    <w:rsid w:val="005E37C0"/>
    <w:rsid w:val="00603F7C"/>
    <w:rsid w:val="00614584"/>
    <w:rsid w:val="00617A41"/>
    <w:rsid w:val="006378FC"/>
    <w:rsid w:val="00656733"/>
    <w:rsid w:val="006604D4"/>
    <w:rsid w:val="006647F3"/>
    <w:rsid w:val="00664BED"/>
    <w:rsid w:val="00684CAE"/>
    <w:rsid w:val="006B1EC0"/>
    <w:rsid w:val="006B3051"/>
    <w:rsid w:val="006B368D"/>
    <w:rsid w:val="006C58CC"/>
    <w:rsid w:val="006D0D37"/>
    <w:rsid w:val="006F54FA"/>
    <w:rsid w:val="0070235E"/>
    <w:rsid w:val="00721127"/>
    <w:rsid w:val="00774231"/>
    <w:rsid w:val="00786A9E"/>
    <w:rsid w:val="0079038A"/>
    <w:rsid w:val="00791708"/>
    <w:rsid w:val="007A74B9"/>
    <w:rsid w:val="007B623C"/>
    <w:rsid w:val="007C16AD"/>
    <w:rsid w:val="007D5CFA"/>
    <w:rsid w:val="00801CA1"/>
    <w:rsid w:val="00804772"/>
    <w:rsid w:val="008108BC"/>
    <w:rsid w:val="00814324"/>
    <w:rsid w:val="00821128"/>
    <w:rsid w:val="00831778"/>
    <w:rsid w:val="008328BE"/>
    <w:rsid w:val="008340D7"/>
    <w:rsid w:val="008424F1"/>
    <w:rsid w:val="00872AE2"/>
    <w:rsid w:val="008737D0"/>
    <w:rsid w:val="00883668"/>
    <w:rsid w:val="008A6FB5"/>
    <w:rsid w:val="008B4AE5"/>
    <w:rsid w:val="008D5BE1"/>
    <w:rsid w:val="008D7365"/>
    <w:rsid w:val="008E4C06"/>
    <w:rsid w:val="008F1184"/>
    <w:rsid w:val="008F5994"/>
    <w:rsid w:val="00901FC8"/>
    <w:rsid w:val="00914500"/>
    <w:rsid w:val="009332C9"/>
    <w:rsid w:val="009438DC"/>
    <w:rsid w:val="0097052F"/>
    <w:rsid w:val="009768B6"/>
    <w:rsid w:val="00990CF5"/>
    <w:rsid w:val="009923CC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C4D31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43ABB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14D3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E09EC"/>
    <w:rsid w:val="00CF6CE0"/>
    <w:rsid w:val="00D051C1"/>
    <w:rsid w:val="00D17028"/>
    <w:rsid w:val="00D17A99"/>
    <w:rsid w:val="00D21A40"/>
    <w:rsid w:val="00D30145"/>
    <w:rsid w:val="00D3342A"/>
    <w:rsid w:val="00D47A2C"/>
    <w:rsid w:val="00D540DB"/>
    <w:rsid w:val="00D8364E"/>
    <w:rsid w:val="00D9258C"/>
    <w:rsid w:val="00D92E56"/>
    <w:rsid w:val="00DA393E"/>
    <w:rsid w:val="00DB08DC"/>
    <w:rsid w:val="00DB5541"/>
    <w:rsid w:val="00DB6801"/>
    <w:rsid w:val="00E0702C"/>
    <w:rsid w:val="00E27AEA"/>
    <w:rsid w:val="00E42779"/>
    <w:rsid w:val="00E54DDB"/>
    <w:rsid w:val="00E67932"/>
    <w:rsid w:val="00E70B4B"/>
    <w:rsid w:val="00E71E26"/>
    <w:rsid w:val="00E74E6A"/>
    <w:rsid w:val="00E83F85"/>
    <w:rsid w:val="00E93078"/>
    <w:rsid w:val="00E9468D"/>
    <w:rsid w:val="00EB3190"/>
    <w:rsid w:val="00EB361B"/>
    <w:rsid w:val="00EB524A"/>
    <w:rsid w:val="00EB7101"/>
    <w:rsid w:val="00EE2775"/>
    <w:rsid w:val="00EF0C35"/>
    <w:rsid w:val="00F01582"/>
    <w:rsid w:val="00F21BF7"/>
    <w:rsid w:val="00F33C19"/>
    <w:rsid w:val="00F42C2C"/>
    <w:rsid w:val="00F432B4"/>
    <w:rsid w:val="00F52604"/>
    <w:rsid w:val="00F854A6"/>
    <w:rsid w:val="00F90777"/>
    <w:rsid w:val="00F90D9B"/>
    <w:rsid w:val="00FA3CD5"/>
    <w:rsid w:val="00FB6A67"/>
    <w:rsid w:val="00FD23E3"/>
    <w:rsid w:val="00FE3058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749FF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List Paragraph"/>
    <w:basedOn w:val="a"/>
    <w:uiPriority w:val="34"/>
    <w:qFormat/>
    <w:rsid w:val="00D540D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Windows 使用者</cp:lastModifiedBy>
  <cp:revision>350</cp:revision>
  <dcterms:created xsi:type="dcterms:W3CDTF">2020-09-30T05:52:00Z</dcterms:created>
  <dcterms:modified xsi:type="dcterms:W3CDTF">2020-11-27T08:55:00Z</dcterms:modified>
</cp:coreProperties>
</file>