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8176C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8176CA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8176CA">
        <w:rPr>
          <w:rFonts w:ascii="Times New Roman" w:eastAsia="標楷體" w:hAnsi="標楷體" w:hint="eastAsia"/>
          <w:b/>
          <w:sz w:val="32"/>
          <w:szCs w:val="32"/>
        </w:rPr>
        <w:t>109</w:t>
      </w:r>
      <w:proofErr w:type="gramEnd"/>
      <w:r w:rsidRPr="008176CA">
        <w:rPr>
          <w:rFonts w:ascii="Times New Roman" w:eastAsia="標楷體" w:hAnsi="標楷體" w:hint="eastAsia"/>
          <w:b/>
          <w:sz w:val="32"/>
          <w:szCs w:val="32"/>
        </w:rPr>
        <w:t>年度高教深耕計畫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4326"/>
        <w:gridCol w:w="4455"/>
      </w:tblGrid>
      <w:tr w:rsidR="005154D4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B12988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B1298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配合產業需求，培育學院特色人才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金融科技與投資評估人才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B12988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透過專題演講帶給在校生更多實務經驗</w:t>
            </w:r>
          </w:p>
        </w:tc>
      </w:tr>
      <w:tr w:rsidR="00B12988" w:rsidRPr="001C1E24" w:rsidTr="00C90F50">
        <w:trPr>
          <w:trHeight w:val="56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B12988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BC0113" w:rsidRDefault="00B12988" w:rsidP="0095119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Cs w:val="24"/>
              </w:rPr>
              <w:t>專題演講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E30196">
              <w:rPr>
                <w:rFonts w:ascii="Times New Roman" w:eastAsia="標楷體" w:hAnsi="Times New Roman" w:hint="eastAsia"/>
                <w:szCs w:val="24"/>
              </w:rPr>
              <w:t>林</w:t>
            </w:r>
            <w:proofErr w:type="gramStart"/>
            <w:r w:rsidR="00E30196">
              <w:rPr>
                <w:rFonts w:ascii="Times New Roman" w:eastAsia="標楷體" w:hAnsi="Times New Roman" w:hint="eastAsia"/>
                <w:szCs w:val="24"/>
              </w:rPr>
              <w:t>昇</w:t>
            </w:r>
            <w:proofErr w:type="gramEnd"/>
            <w:r w:rsidR="00E30196">
              <w:rPr>
                <w:rFonts w:ascii="Times New Roman" w:eastAsia="標楷體" w:hAnsi="Times New Roman" w:hint="eastAsia"/>
                <w:szCs w:val="24"/>
              </w:rPr>
              <w:t>聖</w:t>
            </w:r>
            <w:r w:rsidR="00BC0113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725196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951192" w:rsidRPr="00951192">
              <w:rPr>
                <w:rFonts w:ascii="Times New Roman" w:eastAsia="標楷體" w:hAnsi="Times New Roman" w:hint="eastAsia"/>
                <w:szCs w:val="24"/>
              </w:rPr>
              <w:t>創投基金與私募股權基金的簡介</w:t>
            </w:r>
            <w:bookmarkEnd w:id="0"/>
          </w:p>
        </w:tc>
      </w:tr>
      <w:tr w:rsidR="00B12988" w:rsidRPr="001C1E24" w:rsidTr="00C90F50">
        <w:trPr>
          <w:trHeight w:val="1300"/>
          <w:jc w:val="center"/>
        </w:trPr>
        <w:tc>
          <w:tcPr>
            <w:tcW w:w="13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B12988" w:rsidRPr="00CD6B06" w:rsidRDefault="00B12988" w:rsidP="00B12988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5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主辦單位：財金系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活動日期：</w:t>
            </w:r>
            <w:r w:rsidR="0044565E" w:rsidRPr="00DA6BA4">
              <w:rPr>
                <w:rFonts w:ascii="標楷體" w:eastAsia="標楷體" w:hAnsi="標楷體" w:hint="eastAsia"/>
              </w:rPr>
              <w:t>10</w:t>
            </w:r>
            <w:r w:rsidR="002A4B9E">
              <w:rPr>
                <w:rFonts w:ascii="標楷體" w:eastAsia="標楷體" w:hAnsi="標楷體"/>
              </w:rPr>
              <w:t>9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2A4B9E">
              <w:rPr>
                <w:rFonts w:ascii="標楷體" w:eastAsia="標楷體" w:hAnsi="標楷體"/>
              </w:rPr>
              <w:t>6</w:t>
            </w:r>
            <w:r w:rsidR="0044565E" w:rsidRPr="00DA6BA4">
              <w:rPr>
                <w:rFonts w:ascii="標楷體" w:eastAsia="標楷體" w:hAnsi="標楷體" w:hint="eastAsia"/>
              </w:rPr>
              <w:t>/</w:t>
            </w:r>
            <w:r w:rsidR="002A4B9E">
              <w:rPr>
                <w:rFonts w:ascii="標楷體" w:eastAsia="標楷體" w:hAnsi="標楷體"/>
              </w:rPr>
              <w:t>10</w:t>
            </w:r>
            <w:r w:rsidRPr="00DA6BA4">
              <w:rPr>
                <w:rFonts w:ascii="標楷體" w:eastAsia="標楷體" w:hAnsi="標楷體" w:hint="eastAsia"/>
              </w:rPr>
              <w:t>(周</w:t>
            </w:r>
            <w:r w:rsidR="00BC0113" w:rsidRPr="00DA6BA4">
              <w:rPr>
                <w:rFonts w:ascii="標楷體" w:eastAsia="標楷體" w:hAnsi="標楷體" w:hint="eastAsia"/>
              </w:rPr>
              <w:t>三</w:t>
            </w:r>
            <w:r w:rsidRPr="00DA6BA4">
              <w:rPr>
                <w:rFonts w:ascii="標楷體" w:eastAsia="標楷體" w:hAnsi="標楷體" w:hint="eastAsia"/>
              </w:rPr>
              <w:t>)</w:t>
            </w:r>
            <w:r w:rsidR="00BC0113" w:rsidRPr="00DA6BA4">
              <w:rPr>
                <w:rFonts w:ascii="標楷體" w:eastAsia="標楷體" w:hAnsi="標楷體" w:hint="eastAsia"/>
              </w:rPr>
              <w:t>13</w:t>
            </w:r>
            <w:r w:rsidRPr="00DA6BA4">
              <w:rPr>
                <w:rFonts w:ascii="標楷體" w:eastAsia="標楷體" w:hAnsi="標楷體"/>
              </w:rPr>
              <w:t>00-1</w:t>
            </w:r>
            <w:r w:rsidR="00BC0113" w:rsidRPr="00DA6BA4">
              <w:rPr>
                <w:rFonts w:ascii="標楷體" w:eastAsia="標楷體" w:hAnsi="標楷體" w:hint="eastAsia"/>
              </w:rPr>
              <w:t>5</w:t>
            </w:r>
            <w:r w:rsidRPr="00DA6BA4">
              <w:rPr>
                <w:rFonts w:ascii="標楷體" w:eastAsia="標楷體" w:hAnsi="標楷體"/>
              </w:rPr>
              <w:t>00</w:t>
            </w:r>
          </w:p>
          <w:p w:rsidR="00B12988" w:rsidRPr="00DA6BA4" w:rsidRDefault="00B12988" w:rsidP="00AA2A3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活動地點：</w:t>
            </w:r>
            <w:r w:rsidR="00725196" w:rsidRPr="00DA6BA4">
              <w:rPr>
                <w:rFonts w:ascii="標楷體" w:eastAsia="標楷體" w:hAnsi="標楷體" w:hint="eastAsia"/>
              </w:rPr>
              <w:t>大恩</w:t>
            </w:r>
            <w:r w:rsidR="002A4B9E">
              <w:rPr>
                <w:rFonts w:ascii="標楷體" w:eastAsia="標楷體" w:hAnsi="標楷體"/>
              </w:rPr>
              <w:t>706</w:t>
            </w:r>
            <w:r w:rsidR="00C329D6" w:rsidRPr="00DA6BA4">
              <w:rPr>
                <w:rFonts w:ascii="標楷體" w:eastAsia="標楷體" w:hAnsi="標楷體" w:hint="eastAsia"/>
              </w:rPr>
              <w:t>教室</w:t>
            </w:r>
          </w:p>
          <w:p w:rsidR="00144A5D" w:rsidRDefault="00B12988" w:rsidP="00B12988">
            <w:pPr>
              <w:ind w:left="360" w:hanging="240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DA6BA4">
              <w:rPr>
                <w:rFonts w:ascii="標楷體" w:eastAsia="標楷體" w:hAnsi="標楷體" w:hint="eastAsia"/>
              </w:rPr>
              <w:t>主 講 者：</w:t>
            </w:r>
            <w:r w:rsidR="00951192">
              <w:rPr>
                <w:rFonts w:ascii="Times New Roman" w:eastAsia="標楷體" w:hAnsi="Times New Roman" w:hint="eastAsia"/>
                <w:szCs w:val="24"/>
              </w:rPr>
              <w:t>林</w:t>
            </w:r>
            <w:proofErr w:type="gramStart"/>
            <w:r w:rsidR="00951192">
              <w:rPr>
                <w:rFonts w:ascii="Times New Roman" w:eastAsia="標楷體" w:hAnsi="Times New Roman" w:hint="eastAsia"/>
                <w:szCs w:val="24"/>
              </w:rPr>
              <w:t>昇</w:t>
            </w:r>
            <w:proofErr w:type="gramEnd"/>
            <w:r w:rsidR="00951192">
              <w:rPr>
                <w:rFonts w:ascii="Times New Roman" w:eastAsia="標楷體" w:hAnsi="Times New Roman" w:hint="eastAsia"/>
                <w:szCs w:val="24"/>
              </w:rPr>
              <w:t>聖老師</w:t>
            </w:r>
            <w:r w:rsidR="00144A5D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951192" w:rsidRPr="00951192">
              <w:rPr>
                <w:rFonts w:ascii="Times New Roman" w:eastAsia="標楷體" w:hAnsi="標楷體" w:cs="Times New Roman" w:hint="eastAsia"/>
                <w:szCs w:val="24"/>
              </w:rPr>
              <w:t>創投基金與私募股權基金的簡介</w:t>
            </w:r>
          </w:p>
          <w:p w:rsidR="00B12988" w:rsidRPr="00DA6BA4" w:rsidRDefault="00B12988" w:rsidP="00B1298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參與人數：</w:t>
            </w:r>
            <w:r w:rsidR="002A4B9E">
              <w:rPr>
                <w:rFonts w:ascii="標楷體" w:eastAsia="標楷體" w:hAnsi="標楷體"/>
                <w:u w:val="single"/>
              </w:rPr>
              <w:t>26</w:t>
            </w:r>
            <w:r w:rsidRPr="00DA6BA4">
              <w:rPr>
                <w:rFonts w:ascii="標楷體" w:eastAsia="標楷體" w:hAnsi="標楷體" w:hint="eastAsia"/>
              </w:rPr>
              <w:t>人（教師</w:t>
            </w:r>
            <w:r w:rsidR="00106A94" w:rsidRPr="00DA6BA4">
              <w:rPr>
                <w:rFonts w:ascii="標楷體" w:eastAsia="標楷體" w:hAnsi="標楷體" w:hint="eastAsia"/>
                <w:u w:val="single"/>
              </w:rPr>
              <w:t>2</w:t>
            </w:r>
            <w:r w:rsidRPr="00DA6BA4">
              <w:rPr>
                <w:rFonts w:ascii="標楷體" w:eastAsia="標楷體" w:hAnsi="標楷體" w:hint="eastAsia"/>
              </w:rPr>
              <w:t>人、學生</w:t>
            </w:r>
            <w:r w:rsidR="0015167B">
              <w:rPr>
                <w:rFonts w:ascii="標楷體" w:eastAsia="標楷體" w:hAnsi="標楷體" w:hint="eastAsia"/>
                <w:u w:val="single"/>
              </w:rPr>
              <w:t>2</w:t>
            </w:r>
            <w:r w:rsidR="002A4B9E">
              <w:rPr>
                <w:rFonts w:ascii="標楷體" w:eastAsia="標楷體" w:hAnsi="標楷體"/>
                <w:u w:val="single"/>
              </w:rPr>
              <w:t>4</w:t>
            </w:r>
            <w:r w:rsidRPr="00DA6BA4">
              <w:rPr>
                <w:rFonts w:ascii="標楷體" w:eastAsia="標楷體" w:hAnsi="標楷體" w:hint="eastAsia"/>
              </w:rPr>
              <w:t>人、）</w:t>
            </w:r>
          </w:p>
          <w:p w:rsidR="00106A94" w:rsidRPr="00DA6BA4" w:rsidRDefault="00B12988" w:rsidP="009A315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內    容：</w:t>
            </w:r>
          </w:p>
          <w:p w:rsidR="00951192" w:rsidRPr="00951192" w:rsidRDefault="00951192" w:rsidP="0095119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51192">
              <w:rPr>
                <w:rFonts w:ascii="標楷體" w:eastAsia="標楷體" w:hAnsi="標楷體" w:hint="eastAsia"/>
              </w:rPr>
              <w:t>在歐洲大陸，私募股權投資基金等同於風險資本(Venture Capital，VC)，歐洲私募股權和創業資本協會(EVCA)把私募股權投資定義為投資於企業早期(種子期和創業期)和擴展期的專業的股權投資。</w:t>
            </w:r>
          </w:p>
          <w:p w:rsidR="00951192" w:rsidRPr="00951192" w:rsidRDefault="00951192" w:rsidP="0095119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:rsidR="00951192" w:rsidRPr="00951192" w:rsidRDefault="00951192" w:rsidP="0095119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951192">
              <w:rPr>
                <w:rFonts w:ascii="標楷體" w:eastAsia="標楷體" w:hAnsi="標楷體" w:hint="eastAsia"/>
              </w:rPr>
              <w:t xml:space="preserve">　　當前國內外對私募股權投資的含義界定不一，概括而言，主要有廣義和狹義之分。廣義的私募股權投資是指通過非公開形式募集資金，並對企業進行各種類型的股權投資。這種股權投資涵蓋企業首次公開發行前各階段的權益投資，即對處於種子期、初創期、發展期、擴展期、成熟期和Pre-IPO各個時期企業所進行的投資，以及上市後的私募投資(如Private Investment In Public Equity，PIPE)等。狹義的私募股權投資主要指對已經形成一定規模的，並產生穩定現金流的成熟企業的私募股權投資部分，主要是指創業投資後期的私募股權投資部分。</w:t>
            </w:r>
          </w:p>
          <w:p w:rsidR="00951192" w:rsidRPr="00951192" w:rsidRDefault="00951192" w:rsidP="0095119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:rsidR="00951192" w:rsidRDefault="00951192" w:rsidP="00951192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951192">
              <w:rPr>
                <w:rFonts w:ascii="標楷體" w:eastAsia="標楷體" w:hAnsi="標楷體" w:hint="eastAsia"/>
              </w:rPr>
              <w:t xml:space="preserve">　　私募股權投資通常以基金方式作為資金募集的載體，由專業的基金管理公司運作，像我們熟知的凱雷集團、KKR、</w:t>
            </w:r>
            <w:proofErr w:type="gramStart"/>
            <w:r w:rsidRPr="00951192">
              <w:rPr>
                <w:rFonts w:ascii="標楷體" w:eastAsia="標楷體" w:hAnsi="標楷體" w:hint="eastAsia"/>
              </w:rPr>
              <w:t>黑石集團</w:t>
            </w:r>
            <w:proofErr w:type="gramEnd"/>
            <w:r w:rsidRPr="00951192">
              <w:rPr>
                <w:rFonts w:ascii="標楷體" w:eastAsia="標楷體" w:hAnsi="標楷體" w:hint="eastAsia"/>
              </w:rPr>
              <w:t>和紅杉資本等國際知名投資機構就是私募股權投資基金的管理公司，旗下都運行著</w:t>
            </w:r>
            <w:proofErr w:type="gramStart"/>
            <w:r w:rsidRPr="00951192">
              <w:rPr>
                <w:rFonts w:ascii="標楷體" w:eastAsia="標楷體" w:hAnsi="標楷體" w:hint="eastAsia"/>
              </w:rPr>
              <w:t>多只私募</w:t>
            </w:r>
            <w:proofErr w:type="gramEnd"/>
            <w:r w:rsidRPr="00951192">
              <w:rPr>
                <w:rFonts w:ascii="標楷體" w:eastAsia="標楷體" w:hAnsi="標楷體" w:hint="eastAsia"/>
              </w:rPr>
              <w:t>股權投資基金。</w:t>
            </w:r>
          </w:p>
          <w:p w:rsidR="00DA6BA4" w:rsidRPr="00DA6BA4" w:rsidRDefault="00DA6BA4" w:rsidP="0015167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DA6BA4">
              <w:rPr>
                <w:rFonts w:ascii="標楷體" w:eastAsia="標楷體" w:hAnsi="標楷體" w:hint="eastAsia"/>
              </w:rPr>
              <w:t>執行成效:</w:t>
            </w:r>
          </w:p>
          <w:p w:rsidR="00B12988" w:rsidRPr="009A3157" w:rsidRDefault="00DA6BA4" w:rsidP="009A3157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鼓勵學生多元學習，不要就地設限，世界之大，保持著處處可學習態度。</w:t>
            </w:r>
          </w:p>
        </w:tc>
      </w:tr>
      <w:tr w:rsidR="00B12988" w:rsidRPr="004F456F" w:rsidTr="0044565E">
        <w:trPr>
          <w:trHeight w:val="753"/>
          <w:jc w:val="center"/>
        </w:trPr>
        <w:tc>
          <w:tcPr>
            <w:tcW w:w="13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B12988" w:rsidRPr="00CD6B06" w:rsidRDefault="00B12988" w:rsidP="00B12988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lastRenderedPageBreak/>
              <w:t>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2A4B9E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A4B9E">
              <w:rPr>
                <w:noProof/>
              </w:rPr>
              <w:drawing>
                <wp:inline distT="0" distB="0" distL="0" distR="0" wp14:anchorId="4DDD05D6" wp14:editId="3335BE75">
                  <wp:extent cx="2533650" cy="1899381"/>
                  <wp:effectExtent l="0" t="0" r="0" b="5715"/>
                  <wp:docPr id="8" name="圖片 8" descr="C:\Users\first\Downloads\林昇聖_20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ownloads\林昇聖_200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890" cy="191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2A4B9E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A4B9E">
              <w:rPr>
                <w:noProof/>
              </w:rPr>
              <w:drawing>
                <wp:inline distT="0" distB="0" distL="0" distR="0" wp14:anchorId="0ED12795" wp14:editId="08E83F92">
                  <wp:extent cx="2506417" cy="1878965"/>
                  <wp:effectExtent l="0" t="0" r="8255" b="6985"/>
                  <wp:docPr id="7" name="圖片 7" descr="C:\Users\first\Downloads\林昇聖_200629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ownloads\林昇聖_200629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75" cy="188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113" w:rsidRPr="004F456F" w:rsidTr="0044565E">
        <w:trPr>
          <w:trHeight w:val="454"/>
          <w:jc w:val="center"/>
        </w:trPr>
        <w:tc>
          <w:tcPr>
            <w:tcW w:w="136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91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2A4B9E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  <w:r w:rsidRPr="002A4B9E">
              <w:rPr>
                <w:noProof/>
              </w:rPr>
              <w:drawing>
                <wp:inline distT="0" distB="0" distL="0" distR="0" wp14:anchorId="1E9283B5" wp14:editId="75D38713">
                  <wp:extent cx="2338285" cy="1752923"/>
                  <wp:effectExtent l="0" t="0" r="5080" b="0"/>
                  <wp:docPr id="6" name="圖片 6" descr="C:\Users\first\Downloads\林昇聖_200629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ownloads\林昇聖_200629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511" cy="176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2A4B9E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A4B9E">
              <w:rPr>
                <w:noProof/>
              </w:rPr>
              <w:drawing>
                <wp:inline distT="0" distB="0" distL="0" distR="0" wp14:anchorId="16B4E4B1" wp14:editId="34B614D2">
                  <wp:extent cx="2307829" cy="1730092"/>
                  <wp:effectExtent l="0" t="0" r="0" b="3810"/>
                  <wp:docPr id="5" name="圖片 5" descr="C:\Users\first\Downloads\林昇聖_20062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ownloads\林昇聖_20062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21046" cy="17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54D4" w:rsidRPr="00C93D2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526C2A" w:rsidP="00C90F50">
      <w:pPr>
        <w:ind w:left="130" w:hanging="10"/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26C2A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B5465B" w:rsidRDefault="00B5465B" w:rsidP="002B71DC">
      <w:pPr>
        <w:ind w:left="360" w:hanging="240"/>
        <w:rPr>
          <w:noProof/>
        </w:rPr>
      </w:pPr>
    </w:p>
    <w:p w:rsidR="00C329D6" w:rsidRDefault="00C329D6" w:rsidP="002B71DC">
      <w:pPr>
        <w:ind w:left="360" w:hanging="240"/>
        <w:rPr>
          <w:noProof/>
        </w:rPr>
      </w:pPr>
    </w:p>
    <w:p w:rsidR="00B5465B" w:rsidRDefault="00B5465B" w:rsidP="002B71DC">
      <w:pPr>
        <w:ind w:left="360" w:hanging="240"/>
        <w:rPr>
          <w:noProof/>
        </w:rPr>
      </w:pPr>
    </w:p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FD" w:rsidRDefault="00897FFD" w:rsidP="00B23FF5">
      <w:pPr>
        <w:ind w:left="360" w:hanging="240"/>
      </w:pPr>
      <w:r>
        <w:separator/>
      </w:r>
    </w:p>
  </w:endnote>
  <w:endnote w:type="continuationSeparator" w:id="0">
    <w:p w:rsidR="00897FFD" w:rsidRDefault="00897FF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7FF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6CA" w:rsidRPr="008176C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97FF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7FF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FD" w:rsidRDefault="00897FFD" w:rsidP="00B23FF5">
      <w:pPr>
        <w:ind w:left="360" w:hanging="240"/>
      </w:pPr>
      <w:r>
        <w:separator/>
      </w:r>
    </w:p>
  </w:footnote>
  <w:footnote w:type="continuationSeparator" w:id="0">
    <w:p w:rsidR="00897FFD" w:rsidRDefault="00897FF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7FF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7FF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97FFD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80EF3"/>
    <w:rsid w:val="00092FC2"/>
    <w:rsid w:val="000D26DA"/>
    <w:rsid w:val="000D6B66"/>
    <w:rsid w:val="000E236E"/>
    <w:rsid w:val="000E57E3"/>
    <w:rsid w:val="00106A94"/>
    <w:rsid w:val="001112E5"/>
    <w:rsid w:val="00120BF8"/>
    <w:rsid w:val="0012581D"/>
    <w:rsid w:val="001272BF"/>
    <w:rsid w:val="0013217E"/>
    <w:rsid w:val="001369F7"/>
    <w:rsid w:val="0014348C"/>
    <w:rsid w:val="00144A5D"/>
    <w:rsid w:val="00150C69"/>
    <w:rsid w:val="0015167B"/>
    <w:rsid w:val="0015616E"/>
    <w:rsid w:val="00160661"/>
    <w:rsid w:val="001649E9"/>
    <w:rsid w:val="00181BF9"/>
    <w:rsid w:val="00193E9D"/>
    <w:rsid w:val="001B2F52"/>
    <w:rsid w:val="001C12EC"/>
    <w:rsid w:val="001F1EB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A4B9E"/>
    <w:rsid w:val="002A50E6"/>
    <w:rsid w:val="002A614C"/>
    <w:rsid w:val="002B1169"/>
    <w:rsid w:val="002B71DC"/>
    <w:rsid w:val="00317D59"/>
    <w:rsid w:val="00330FED"/>
    <w:rsid w:val="00354423"/>
    <w:rsid w:val="003645C9"/>
    <w:rsid w:val="0038462E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94944"/>
    <w:rsid w:val="004A258D"/>
    <w:rsid w:val="004A29ED"/>
    <w:rsid w:val="004A68A2"/>
    <w:rsid w:val="004A7C9E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15F8"/>
    <w:rsid w:val="005154D4"/>
    <w:rsid w:val="00515AF1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C11F5"/>
    <w:rsid w:val="005C3E4F"/>
    <w:rsid w:val="00603F7C"/>
    <w:rsid w:val="00617A41"/>
    <w:rsid w:val="00626C31"/>
    <w:rsid w:val="00656733"/>
    <w:rsid w:val="006647F3"/>
    <w:rsid w:val="00684CAE"/>
    <w:rsid w:val="006A0555"/>
    <w:rsid w:val="006A625D"/>
    <w:rsid w:val="006B3051"/>
    <w:rsid w:val="006B368D"/>
    <w:rsid w:val="006C58CC"/>
    <w:rsid w:val="006E4CDD"/>
    <w:rsid w:val="0070235E"/>
    <w:rsid w:val="00721127"/>
    <w:rsid w:val="00725196"/>
    <w:rsid w:val="007411ED"/>
    <w:rsid w:val="007613BA"/>
    <w:rsid w:val="0079038A"/>
    <w:rsid w:val="00790F9D"/>
    <w:rsid w:val="00791708"/>
    <w:rsid w:val="007B623C"/>
    <w:rsid w:val="007D5CFA"/>
    <w:rsid w:val="00814324"/>
    <w:rsid w:val="008176CA"/>
    <w:rsid w:val="00821128"/>
    <w:rsid w:val="00831778"/>
    <w:rsid w:val="008328BE"/>
    <w:rsid w:val="008424F1"/>
    <w:rsid w:val="00872AE2"/>
    <w:rsid w:val="008737D0"/>
    <w:rsid w:val="00883668"/>
    <w:rsid w:val="00897FFD"/>
    <w:rsid w:val="008A6FB5"/>
    <w:rsid w:val="008B4AE5"/>
    <w:rsid w:val="008C0D05"/>
    <w:rsid w:val="008D5BE1"/>
    <w:rsid w:val="008E27B9"/>
    <w:rsid w:val="008E4C06"/>
    <w:rsid w:val="008F1184"/>
    <w:rsid w:val="008F5994"/>
    <w:rsid w:val="00914500"/>
    <w:rsid w:val="009332C9"/>
    <w:rsid w:val="00934926"/>
    <w:rsid w:val="009438DC"/>
    <w:rsid w:val="00951192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D0A74"/>
    <w:rsid w:val="009D5E61"/>
    <w:rsid w:val="00A01621"/>
    <w:rsid w:val="00A32E54"/>
    <w:rsid w:val="00A36E0F"/>
    <w:rsid w:val="00A45E48"/>
    <w:rsid w:val="00A462F3"/>
    <w:rsid w:val="00A47DAA"/>
    <w:rsid w:val="00A53C82"/>
    <w:rsid w:val="00A735F7"/>
    <w:rsid w:val="00AA1183"/>
    <w:rsid w:val="00AA2A36"/>
    <w:rsid w:val="00AA6D86"/>
    <w:rsid w:val="00AC1584"/>
    <w:rsid w:val="00AE1A9C"/>
    <w:rsid w:val="00AF2470"/>
    <w:rsid w:val="00B12988"/>
    <w:rsid w:val="00B1410E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6AB3"/>
    <w:rsid w:val="00C2735C"/>
    <w:rsid w:val="00C329D6"/>
    <w:rsid w:val="00C544E9"/>
    <w:rsid w:val="00C61B34"/>
    <w:rsid w:val="00C674E9"/>
    <w:rsid w:val="00C75BA7"/>
    <w:rsid w:val="00C84233"/>
    <w:rsid w:val="00C90F50"/>
    <w:rsid w:val="00CA789C"/>
    <w:rsid w:val="00CB0934"/>
    <w:rsid w:val="00CC3263"/>
    <w:rsid w:val="00CD0C6E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A393E"/>
    <w:rsid w:val="00DA6BA4"/>
    <w:rsid w:val="00DB5541"/>
    <w:rsid w:val="00E30196"/>
    <w:rsid w:val="00E54DDB"/>
    <w:rsid w:val="00E70B4B"/>
    <w:rsid w:val="00E71E26"/>
    <w:rsid w:val="00E77C65"/>
    <w:rsid w:val="00E83F85"/>
    <w:rsid w:val="00E9347F"/>
    <w:rsid w:val="00E9468D"/>
    <w:rsid w:val="00EE2775"/>
    <w:rsid w:val="00EE3652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88951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cp:lastPrinted>2017-12-11T07:07:00Z</cp:lastPrinted>
  <dcterms:created xsi:type="dcterms:W3CDTF">2019-05-29T02:35:00Z</dcterms:created>
  <dcterms:modified xsi:type="dcterms:W3CDTF">2020-08-31T06:43:00Z</dcterms:modified>
</cp:coreProperties>
</file>