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5496"/>
        <w:gridCol w:w="3354"/>
      </w:tblGrid>
      <w:tr w:rsidR="00285218" w:rsidRPr="001C1E24" w:rsidTr="0066728F">
        <w:trPr>
          <w:trHeight w:val="567"/>
          <w:jc w:val="center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C93CB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93CB2">
              <w:rPr>
                <w:rFonts w:ascii="標楷體" w:eastAsia="標楷體" w:hAnsi="標楷體" w:hint="eastAsia"/>
                <w:sz w:val="27"/>
                <w:szCs w:val="27"/>
              </w:rPr>
              <w:t>B2-2-5 「涵養中華文化教學計畫」</w:t>
            </w:r>
          </w:p>
        </w:tc>
      </w:tr>
      <w:tr w:rsidR="00285218" w:rsidRPr="001C1E24" w:rsidTr="0066728F">
        <w:trPr>
          <w:trHeight w:val="567"/>
          <w:jc w:val="center"/>
        </w:trPr>
        <w:tc>
          <w:tcPr>
            <w:tcW w:w="13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35DFB" w:rsidP="00835DFB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835DFB">
              <w:rPr>
                <w:rFonts w:ascii="Times New Roman" w:eastAsia="標楷體" w:hAnsi="Times New Roman" w:hint="eastAsia"/>
                <w:szCs w:val="24"/>
              </w:rPr>
              <w:t>辦理專題講座</w:t>
            </w:r>
          </w:p>
        </w:tc>
      </w:tr>
      <w:tr w:rsidR="00285218" w:rsidRPr="001C1E24" w:rsidTr="0066728F">
        <w:trPr>
          <w:trHeight w:val="567"/>
          <w:jc w:val="center"/>
        </w:trPr>
        <w:tc>
          <w:tcPr>
            <w:tcW w:w="13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6C6D4E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C6D4E">
              <w:rPr>
                <w:rFonts w:ascii="Times New Roman" w:eastAsia="標楷體" w:hAnsi="Times New Roman" w:hint="eastAsia"/>
                <w:szCs w:val="24"/>
              </w:rPr>
              <w:t>從戲劇看記者的角色</w:t>
            </w:r>
          </w:p>
        </w:tc>
      </w:tr>
      <w:tr w:rsidR="00285218" w:rsidRPr="001C1E24" w:rsidTr="0066728F">
        <w:trPr>
          <w:trHeight w:val="3628"/>
          <w:jc w:val="center"/>
        </w:trPr>
        <w:tc>
          <w:tcPr>
            <w:tcW w:w="13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835DFB">
              <w:rPr>
                <w:rFonts w:eastAsia="標楷體" w:hint="eastAsia"/>
              </w:rPr>
              <w:t>新聞學系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835DFB">
              <w:rPr>
                <w:rFonts w:eastAsia="標楷體" w:hint="eastAsia"/>
              </w:rPr>
              <w:t>109/</w:t>
            </w:r>
            <w:r w:rsidR="006C6D4E">
              <w:rPr>
                <w:rFonts w:eastAsia="標楷體" w:hint="eastAsia"/>
              </w:rPr>
              <w:t>6</w:t>
            </w:r>
            <w:r w:rsidR="00835DFB">
              <w:rPr>
                <w:rFonts w:eastAsia="標楷體" w:hint="eastAsia"/>
              </w:rPr>
              <w:t>/</w:t>
            </w:r>
            <w:r w:rsidR="006C6D4E">
              <w:rPr>
                <w:rFonts w:eastAsia="標楷體" w:hint="eastAsia"/>
              </w:rPr>
              <w:t>15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835DFB" w:rsidRPr="00835DFB">
              <w:rPr>
                <w:rFonts w:eastAsia="標楷體" w:hint="eastAsia"/>
              </w:rPr>
              <w:t>中國文化大學</w:t>
            </w:r>
            <w:proofErr w:type="gramStart"/>
            <w:r w:rsidR="006C6D4E" w:rsidRPr="006C6D4E">
              <w:rPr>
                <w:rFonts w:eastAsia="標楷體" w:hint="eastAsia"/>
              </w:rPr>
              <w:t>大孝館</w:t>
            </w:r>
            <w:proofErr w:type="gramEnd"/>
            <w:r w:rsidR="006C6D4E" w:rsidRPr="006C6D4E">
              <w:rPr>
                <w:rFonts w:eastAsia="標楷體" w:hint="eastAsia"/>
              </w:rPr>
              <w:t xml:space="preserve">708 </w:t>
            </w:r>
            <w:r w:rsidR="006C6D4E" w:rsidRPr="006C6D4E">
              <w:rPr>
                <w:rFonts w:eastAsia="標楷體" w:hint="eastAsia"/>
              </w:rPr>
              <w:t>室</w:t>
            </w:r>
          </w:p>
          <w:p w:rsidR="006C6D4E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6C6D4E" w:rsidRPr="006C6D4E">
              <w:rPr>
                <w:rFonts w:eastAsia="標楷體" w:hint="eastAsia"/>
              </w:rPr>
              <w:t>鍾裕能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6C6D4E">
              <w:rPr>
                <w:rFonts w:eastAsia="標楷體" w:hint="eastAsia"/>
              </w:rPr>
              <w:t>48</w:t>
            </w:r>
            <w:r>
              <w:rPr>
                <w:rFonts w:eastAsia="標楷體" w:hint="eastAsia"/>
              </w:rPr>
              <w:t>人（教師</w:t>
            </w:r>
            <w:r w:rsidR="00835DFB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人、學生</w:t>
            </w:r>
            <w:r w:rsidR="006C6D4E">
              <w:rPr>
                <w:rFonts w:eastAsia="標楷體" w:hint="eastAsia"/>
              </w:rPr>
              <w:t>47</w:t>
            </w:r>
            <w:r>
              <w:rPr>
                <w:rFonts w:eastAsia="標楷體" w:hint="eastAsia"/>
              </w:rPr>
              <w:t>人）</w:t>
            </w:r>
          </w:p>
          <w:p w:rsidR="00285218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6D7CA6">
              <w:rPr>
                <w:rFonts w:eastAsia="標楷體" w:hint="eastAsia"/>
              </w:rPr>
              <w:t>邀請</w:t>
            </w:r>
            <w:r w:rsidR="00285218" w:rsidRPr="00285218">
              <w:rPr>
                <w:rFonts w:eastAsia="標楷體" w:hint="eastAsia"/>
              </w:rPr>
              <w:t>蘋果日報體育中心主任鍾裕能</w:t>
            </w:r>
            <w:r w:rsidR="006D7CA6" w:rsidRPr="006D7CA6">
              <w:rPr>
                <w:rFonts w:eastAsia="標楷體" w:hint="eastAsia"/>
              </w:rPr>
              <w:t>與同學們分享</w:t>
            </w:r>
            <w:r w:rsidR="00285218">
              <w:rPr>
                <w:rFonts w:eastAsia="標楷體" w:hint="eastAsia"/>
              </w:rPr>
              <w:t>戲劇文化中呈現之記</w:t>
            </w:r>
          </w:p>
          <w:p w:rsidR="005154D4" w:rsidRDefault="00285218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者角色，並分析新媒體時代記者角色的定為與演變</w:t>
            </w:r>
            <w:r w:rsidR="006D7CA6" w:rsidRPr="006D7CA6">
              <w:rPr>
                <w:rFonts w:eastAsia="標楷體" w:hint="eastAsia"/>
              </w:rPr>
              <w:t>。</w:t>
            </w:r>
          </w:p>
          <w:p w:rsidR="00285218" w:rsidRDefault="005154D4" w:rsidP="006D7CA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285218" w:rsidRPr="00285218">
              <w:rPr>
                <w:rFonts w:eastAsia="標楷體" w:hint="eastAsia"/>
              </w:rPr>
              <w:t>鍾裕能</w:t>
            </w:r>
            <w:r w:rsidR="00285218">
              <w:rPr>
                <w:rFonts w:eastAsia="標楷體" w:hint="eastAsia"/>
              </w:rPr>
              <w:t>透過能引起學生共鳴的時尚戲劇文化，分析劇中對於記者的角</w:t>
            </w:r>
          </w:p>
          <w:p w:rsidR="00285218" w:rsidRDefault="00285218" w:rsidP="006D7CA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色定位、個性分析，輔以解析</w:t>
            </w:r>
            <w:proofErr w:type="gramStart"/>
            <w:r>
              <w:rPr>
                <w:rFonts w:eastAsia="標楷體" w:hint="eastAsia"/>
              </w:rPr>
              <w:t>當今網紅現象</w:t>
            </w:r>
            <w:proofErr w:type="gramEnd"/>
            <w:r>
              <w:rPr>
                <w:rFonts w:eastAsia="標楷體" w:hint="eastAsia"/>
              </w:rPr>
              <w:t>，讓同學們了解新聞記者</w:t>
            </w:r>
          </w:p>
          <w:p w:rsidR="005154D4" w:rsidRPr="004F456F" w:rsidRDefault="00285218" w:rsidP="006D7CA6">
            <w:pPr>
              <w:ind w:left="36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於媒體文化中的意義，並提醒同學現今記者所須具備的自我實力</w:t>
            </w:r>
            <w:r w:rsidR="001F71A5" w:rsidRPr="001F71A5">
              <w:rPr>
                <w:rFonts w:eastAsia="標楷體" w:hint="eastAsia"/>
              </w:rPr>
              <w:t>。</w:t>
            </w:r>
          </w:p>
        </w:tc>
      </w:tr>
      <w:tr w:rsidR="006D7CA6" w:rsidRPr="004F456F" w:rsidTr="0066728F">
        <w:trPr>
          <w:trHeight w:val="753"/>
          <w:jc w:val="center"/>
        </w:trPr>
        <w:tc>
          <w:tcPr>
            <w:tcW w:w="13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D7CA6" w:rsidRPr="004F456F" w:rsidTr="0066728F">
        <w:trPr>
          <w:trHeight w:val="454"/>
          <w:jc w:val="center"/>
        </w:trPr>
        <w:tc>
          <w:tcPr>
            <w:tcW w:w="13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04AA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1D193CD">
                  <wp:extent cx="3267710" cy="2365375"/>
                  <wp:effectExtent l="0" t="0" r="889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710" cy="236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6728F" w:rsidP="006D7CA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演講人</w:t>
            </w:r>
            <w:r w:rsidR="006D7CA6">
              <w:rPr>
                <w:rFonts w:ascii="標楷體" w:eastAsia="標楷體" w:hAnsi="標楷體" w:hint="eastAsia"/>
              </w:rPr>
              <w:t>分享</w:t>
            </w:r>
            <w:r w:rsidR="00404AA7">
              <w:rPr>
                <w:rFonts w:ascii="標楷體" w:eastAsia="標楷體" w:hAnsi="標楷體" w:hint="eastAsia"/>
              </w:rPr>
              <w:t>現今</w:t>
            </w:r>
            <w:bookmarkStart w:id="0" w:name="_GoBack"/>
            <w:bookmarkEnd w:id="0"/>
            <w:r w:rsidR="00404AA7">
              <w:rPr>
                <w:rFonts w:ascii="標楷體" w:eastAsia="標楷體" w:hAnsi="標楷體" w:hint="eastAsia"/>
              </w:rPr>
              <w:t>記者的定位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D7CA6" w:rsidRPr="004F456F" w:rsidTr="0066728F">
        <w:trPr>
          <w:trHeight w:val="454"/>
          <w:jc w:val="center"/>
        </w:trPr>
        <w:tc>
          <w:tcPr>
            <w:tcW w:w="13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D7CA6" w:rsidRPr="004F456F" w:rsidTr="0066728F">
        <w:trPr>
          <w:trHeight w:val="454"/>
          <w:jc w:val="center"/>
        </w:trPr>
        <w:tc>
          <w:tcPr>
            <w:tcW w:w="13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6D7CA6" w:rsidRPr="006C39E0" w:rsidTr="006672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6D7CA6" w:rsidRPr="006C39E0" w:rsidTr="006672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D7CA6" w:rsidRPr="006C39E0" w:rsidTr="006672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31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77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61" w:rsidRDefault="006E4261" w:rsidP="00B23FF5">
      <w:pPr>
        <w:ind w:left="360" w:hanging="240"/>
      </w:pPr>
      <w:r>
        <w:separator/>
      </w:r>
    </w:p>
  </w:endnote>
  <w:endnote w:type="continuationSeparator" w:id="0">
    <w:p w:rsidR="006E4261" w:rsidRDefault="006E426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E426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AA7" w:rsidRPr="00404AA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6E426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E426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61" w:rsidRDefault="006E4261" w:rsidP="00B23FF5">
      <w:pPr>
        <w:ind w:left="360" w:hanging="240"/>
      </w:pPr>
      <w:r>
        <w:separator/>
      </w:r>
    </w:p>
  </w:footnote>
  <w:footnote w:type="continuationSeparator" w:id="0">
    <w:p w:rsidR="006E4261" w:rsidRDefault="006E426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E426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E426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6E426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1F71A5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218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04AA7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43D19"/>
    <w:rsid w:val="00656733"/>
    <w:rsid w:val="006647F3"/>
    <w:rsid w:val="0066728F"/>
    <w:rsid w:val="00684CAE"/>
    <w:rsid w:val="006B3051"/>
    <w:rsid w:val="006B368D"/>
    <w:rsid w:val="006C58CC"/>
    <w:rsid w:val="006C6D4E"/>
    <w:rsid w:val="006D7CA6"/>
    <w:rsid w:val="006E4261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35DFB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05091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93CB2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BC72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陳慶懋</cp:lastModifiedBy>
  <cp:revision>3</cp:revision>
  <dcterms:created xsi:type="dcterms:W3CDTF">2020-08-19T06:34:00Z</dcterms:created>
  <dcterms:modified xsi:type="dcterms:W3CDTF">2020-08-19T06:42:00Z</dcterms:modified>
</cp:coreProperties>
</file>