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0" w:type="pct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7452"/>
      </w:tblGrid>
      <w:tr w:rsidR="00462AD5" w:rsidRPr="008F051C" w:rsidTr="00462AD5">
        <w:trPr>
          <w:trHeight w:val="447"/>
        </w:trPr>
        <w:tc>
          <w:tcPr>
            <w:tcW w:w="1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計畫名稱</w:t>
            </w:r>
          </w:p>
        </w:tc>
        <w:tc>
          <w:tcPr>
            <w:tcW w:w="74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rPr>
                <w:rFonts w:ascii="微軟正黑體" w:hAnsi="微軟正黑體" w:cs="Times New Roman"/>
                <w:sz w:val="24"/>
                <w:szCs w:val="24"/>
              </w:rPr>
            </w:pPr>
            <w:bookmarkStart w:id="0" w:name="_GoBack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計畫二：「陽明山學」：人文計畫案</w:t>
            </w:r>
            <w:bookmarkEnd w:id="0"/>
          </w:p>
        </w:tc>
      </w:tr>
      <w:tr w:rsidR="00462AD5" w:rsidRPr="008F051C" w:rsidTr="00462AD5">
        <w:trPr>
          <w:trHeight w:val="326"/>
        </w:trPr>
        <w:tc>
          <w:tcPr>
            <w:tcW w:w="11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計畫摘要及執行成果</w:t>
            </w:r>
          </w:p>
        </w:tc>
        <w:tc>
          <w:tcPr>
            <w:tcW w:w="74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問題意識與計畫目標</w:t>
            </w:r>
          </w:p>
        </w:tc>
      </w:tr>
      <w:tr w:rsidR="00462AD5" w:rsidRPr="00784B16" w:rsidTr="00462AD5">
        <w:trPr>
          <w:trHeight w:val="1134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snapToGrid w:val="0"/>
              <w:ind w:firstLineChars="200" w:firstLine="480"/>
              <w:jc w:val="both"/>
              <w:rPr>
                <w:rFonts w:ascii="微軟正黑體" w:hAnsi="微軟正黑體" w:cs="Times New Roman"/>
                <w:color w:val="262626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陽明山為台北市最重要的觀光景點之一，然目前之觀光主軸以自然景觀為主，忽略此一地區具有豐富的原住民文化至民國時期之人文地景，甚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為可惜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。本校在陽明山興學辦學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一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甲子，對陽明山永續經營自有不可規避的責任，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爰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提出「陽明山學」為教學重要推廣元素。本計畫結合文學院文、史、哲三系，以「陽明山學」人文為核心，透過理念與實踐學習結合，以講座課程、史蹟考察、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踏溯尋訪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、文學創作等相關活動，加強學生對陽明山地區的瞭解，與在地社會有更深入連結，對於陽明山的生態與人文有更多的推廣行銷，讓世界看見陽明山，看見文化大學。</w:t>
            </w:r>
          </w:p>
        </w:tc>
      </w:tr>
      <w:tr w:rsidR="00462AD5" w:rsidRPr="008F051C" w:rsidTr="00462AD5">
        <w:trPr>
          <w:trHeight w:val="326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計畫執行重點</w:t>
            </w:r>
          </w:p>
        </w:tc>
      </w:tr>
      <w:tr w:rsidR="00462AD5" w:rsidRPr="00557FDB" w:rsidTr="00462AD5">
        <w:trPr>
          <w:trHeight w:val="1134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ind w:firstLineChars="200" w:firstLine="48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462AD5">
              <w:rPr>
                <w:rFonts w:ascii="微軟正黑體" w:hAnsi="微軟正黑體" w:hint="eastAsia"/>
                <w:color w:val="0070C0"/>
                <w:sz w:val="24"/>
                <w:szCs w:val="24"/>
              </w:rPr>
              <w:t>本計畫為文學院中文系、史學系、哲學系三系共同負責，包括微學分課程，文學名家座談與名著朗讀，</w:t>
            </w:r>
            <w:proofErr w:type="gramStart"/>
            <w:r w:rsidRPr="00462AD5">
              <w:rPr>
                <w:rFonts w:ascii="微軟正黑體" w:hAnsi="微軟正黑體" w:hint="eastAsia"/>
                <w:color w:val="0070C0"/>
                <w:sz w:val="24"/>
                <w:szCs w:val="24"/>
              </w:rPr>
              <w:t>踏溯及</w:t>
            </w:r>
            <w:proofErr w:type="gramEnd"/>
            <w:r w:rsidRPr="00462AD5">
              <w:rPr>
                <w:rFonts w:ascii="微軟正黑體" w:hAnsi="微軟正黑體" w:hint="eastAsia"/>
                <w:color w:val="0070C0"/>
                <w:sz w:val="24"/>
                <w:szCs w:val="24"/>
              </w:rPr>
              <w:t>口述訪談，DVD拍攝，陽明山學工作坊。</w:t>
            </w:r>
          </w:p>
        </w:tc>
      </w:tr>
      <w:tr w:rsidR="00462AD5" w:rsidRPr="008F051C" w:rsidTr="00462AD5">
        <w:trPr>
          <w:trHeight w:val="326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tabs>
                <w:tab w:val="center" w:pos="4281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計畫實質進度</w:t>
            </w:r>
          </w:p>
        </w:tc>
      </w:tr>
      <w:tr w:rsidR="00462AD5" w:rsidRPr="000F719B" w:rsidTr="00462AD5">
        <w:trPr>
          <w:trHeight w:val="1134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ind w:left="480" w:hangingChars="200" w:hanging="480"/>
              <w:jc w:val="both"/>
              <w:textAlignment w:val="baseline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一、「陽明山學」講座由三系共同負責，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採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微學分課程方式，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供通識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教育選修，邀請著名學者專家主講，開放全校同學及校外人士參加。</w:t>
            </w:r>
          </w:p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ind w:left="480" w:hangingChars="200" w:hanging="480"/>
              <w:jc w:val="both"/>
              <w:textAlignment w:val="baseline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二、陽明山文學獎，由中文系負責，內容包含古詩詞、現代詩、散文，開放全校師生與社會人士參加。</w:t>
            </w:r>
          </w:p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ind w:left="480" w:hangingChars="200" w:hanging="480"/>
              <w:jc w:val="both"/>
              <w:textAlignment w:val="baseline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三、陽明山史蹟考察，由史學系負責，與陽明山區域內之重要文化館舍結合，進行資料蒐集、口述歷史、VR拍攝、導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覽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計畫擬撰，每年辦理成果工作坊。</w:t>
            </w:r>
          </w:p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ind w:left="480" w:hangingChars="200" w:hanging="480"/>
              <w:jc w:val="both"/>
              <w:textAlignment w:val="baseline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四、「陽明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踏溯」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活動，由哲學系負責，實際踩踏陽明山各遺址古道。</w:t>
            </w:r>
          </w:p>
        </w:tc>
      </w:tr>
      <w:tr w:rsidR="00462AD5" w:rsidRPr="008F051C" w:rsidTr="00462AD5">
        <w:trPr>
          <w:trHeight w:val="329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tabs>
                <w:tab w:val="center" w:pos="4281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主要成果及亮點</w:t>
            </w:r>
          </w:p>
        </w:tc>
      </w:tr>
      <w:tr w:rsidR="00462AD5" w:rsidRPr="008C2525" w:rsidTr="00462AD5">
        <w:trPr>
          <w:trHeight w:val="1134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Style w:val="a5"/>
              <w:tblW w:w="0" w:type="auto"/>
              <w:tblInd w:w="71" w:type="dxa"/>
              <w:tblLook w:val="04A0" w:firstRow="1" w:lastRow="0" w:firstColumn="1" w:lastColumn="0" w:noHBand="0" w:noVBand="1"/>
            </w:tblPr>
            <w:tblGrid>
              <w:gridCol w:w="2433"/>
              <w:gridCol w:w="2498"/>
              <w:gridCol w:w="2277"/>
            </w:tblGrid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bCs/>
                      <w:color w:val="0070C0"/>
                      <w:kern w:val="0"/>
                      <w:sz w:val="24"/>
                      <w:szCs w:val="24"/>
                    </w:rPr>
                    <w:t>量化指標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bCs/>
                      <w:color w:val="0070C0"/>
                      <w:kern w:val="0"/>
                      <w:sz w:val="24"/>
                      <w:szCs w:val="24"/>
                    </w:rPr>
                    <w:t>目標值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Times New Roman" w:hint="eastAsia"/>
                      <w:color w:val="0070C0"/>
                      <w:sz w:val="24"/>
                      <w:szCs w:val="24"/>
                    </w:rPr>
                    <w:t>達成值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Times New Roman" w:hint="eastAsia"/>
                      <w:color w:val="0070C0"/>
                      <w:sz w:val="24"/>
                      <w:szCs w:val="24"/>
                    </w:rPr>
                    <w:t>微學分課程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15場/年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15場/年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  <w:vAlign w:val="center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文學名家座談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文學名著朗讀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參加人次150人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徵集作品60件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2場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參加人次</w:t>
                  </w:r>
                  <w:r w:rsidRPr="00462AD5">
                    <w:rPr>
                      <w:rFonts w:ascii="微軟正黑體" w:hAnsi="微軟正黑體" w:hint="eastAsia"/>
                      <w:color w:val="0070C0"/>
                      <w:sz w:val="24"/>
                      <w:szCs w:val="24"/>
                    </w:rPr>
                    <w:t>100人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Times New Roman"/>
                      <w:color w:val="0070C0"/>
                      <w:sz w:val="24"/>
                      <w:szCs w:val="24"/>
                    </w:rPr>
                  </w:pPr>
                  <w:proofErr w:type="gramStart"/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陽明山踏溯</w:t>
                  </w:r>
                  <w:proofErr w:type="gramEnd"/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color w:val="0070C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2場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參加人次25人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3場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參加人次30人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口述訪談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3次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整理抄本10萬字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3次</w:t>
                  </w:r>
                  <w:r w:rsidRPr="00462AD5">
                    <w:rPr>
                      <w:rFonts w:ascii="微軟正黑體" w:hAnsi="微軟正黑體" w:cs="新細明體"/>
                      <w:color w:val="0070C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0070C0"/>
                      <w:kern w:val="0"/>
                      <w:sz w:val="24"/>
                      <w:szCs w:val="24"/>
                    </w:rPr>
                    <w:t>整理抄本4萬字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從草山行館到</w:t>
                  </w:r>
                  <w:r w:rsidRPr="00462AD5"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陽明書屋VR攝製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預計15-20分鐘</w:t>
                  </w:r>
                  <w:r w:rsidRPr="00462AD5"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中英日三種版本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color w:val="806000" w:themeColor="accent4" w:themeShade="8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完成10分鐘</w:t>
                  </w:r>
                  <w:r w:rsidRPr="00462AD5"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  <w:br/>
                  </w: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中英日三種版本</w:t>
                  </w:r>
                </w:p>
              </w:tc>
            </w:tr>
            <w:tr w:rsidR="00462AD5" w:rsidRPr="00462AD5" w:rsidTr="00462AD5">
              <w:tc>
                <w:tcPr>
                  <w:tcW w:w="2433" w:type="dxa"/>
                </w:tcPr>
                <w:p w:rsidR="00462AD5" w:rsidRPr="00462AD5" w:rsidRDefault="00462AD5" w:rsidP="00FC7ABF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</w:pPr>
                  <w:proofErr w:type="gramStart"/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109</w:t>
                  </w:r>
                  <w:proofErr w:type="gramEnd"/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年度成果展</w:t>
                  </w:r>
                </w:p>
              </w:tc>
              <w:tc>
                <w:tcPr>
                  <w:tcW w:w="2498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 w:cs="新細明體"/>
                      <w:color w:val="806000" w:themeColor="accent4" w:themeShade="80"/>
                      <w:kern w:val="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1次/年</w:t>
                  </w:r>
                </w:p>
              </w:tc>
              <w:tc>
                <w:tcPr>
                  <w:tcW w:w="2277" w:type="dxa"/>
                </w:tcPr>
                <w:p w:rsidR="00462AD5" w:rsidRPr="00462AD5" w:rsidRDefault="00462AD5" w:rsidP="00FC7ABF">
                  <w:pPr>
                    <w:jc w:val="center"/>
                    <w:rPr>
                      <w:rFonts w:ascii="微軟正黑體" w:hAnsi="微軟正黑體"/>
                      <w:color w:val="806000" w:themeColor="accent4" w:themeShade="80"/>
                      <w:sz w:val="24"/>
                      <w:szCs w:val="24"/>
                    </w:rPr>
                  </w:pPr>
                  <w:r w:rsidRPr="00462AD5">
                    <w:rPr>
                      <w:rFonts w:ascii="微軟正黑體" w:hAnsi="微軟正黑體" w:cs="新細明體" w:hint="eastAsia"/>
                      <w:color w:val="806000" w:themeColor="accent4" w:themeShade="80"/>
                      <w:kern w:val="0"/>
                      <w:sz w:val="24"/>
                      <w:szCs w:val="24"/>
                    </w:rPr>
                    <w:t>1次/年</w:t>
                  </w:r>
                </w:p>
              </w:tc>
            </w:tr>
          </w:tbl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</w:p>
          <w:p w:rsidR="00462AD5" w:rsidRPr="00462AD5" w:rsidRDefault="00462AD5" w:rsidP="00FC7ABF">
            <w:pPr>
              <w:suppressAutoHyphens/>
              <w:autoSpaceDE w:val="0"/>
              <w:autoSpaceDN w:val="0"/>
              <w:snapToGrid w:val="0"/>
              <w:spacing w:line="420" w:lineRule="atLeast"/>
              <w:ind w:firstLineChars="200" w:firstLine="480"/>
              <w:jc w:val="both"/>
              <w:textAlignment w:val="baseline"/>
              <w:rPr>
                <w:rFonts w:ascii="微軟正黑體" w:hAnsi="微軟正黑體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hint="eastAsia"/>
                <w:color w:val="0070C0"/>
                <w:sz w:val="24"/>
                <w:szCs w:val="24"/>
              </w:rPr>
              <w:lastRenderedPageBreak/>
              <w:t>另於12月2日舉辦「陽明山學產官學交流工作坊」，</w:t>
            </w:r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本次活動由史學系與圖書館聯合舉辦，希望結合陽明山地區重要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文化館設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（陽明書屋、草山行館、閻錫山故居、林語堂故居）及文化大學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周邊文創商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區（陽明山比夢生活園區、草舍文化園區），推動產官學交流，</w:t>
            </w:r>
            <w:proofErr w:type="gramStart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增進文創團體</w:t>
            </w:r>
            <w:proofErr w:type="gramEnd"/>
            <w:r w:rsidRPr="00462AD5">
              <w:rPr>
                <w:rFonts w:ascii="微軟正黑體" w:hAnsi="微軟正黑體" w:cs="Times New Roman" w:hint="eastAsia"/>
                <w:color w:val="0070C0"/>
                <w:kern w:val="0"/>
                <w:sz w:val="24"/>
                <w:szCs w:val="24"/>
              </w:rPr>
              <w:t>進駐校園的商機，也增加文化大學師生對陽明山人文生活環境的認識與參與。期望透過彼此的意見交換，促進了解與交流，將陽明山在地的文化產業與華岡校園的生態相結合。活動參與人次約150人。</w:t>
            </w:r>
          </w:p>
        </w:tc>
      </w:tr>
      <w:tr w:rsidR="00462AD5" w:rsidRPr="008F051C" w:rsidTr="00462AD5">
        <w:trPr>
          <w:trHeight w:val="372"/>
        </w:trPr>
        <w:tc>
          <w:tcPr>
            <w:tcW w:w="114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tabs>
                <w:tab w:val="center" w:pos="4281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2AD5"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  <w:t>經費執行情形</w:t>
            </w:r>
          </w:p>
        </w:tc>
      </w:tr>
      <w:tr w:rsidR="00462AD5" w:rsidRPr="008F051C" w:rsidTr="00462AD5">
        <w:trPr>
          <w:trHeight w:val="1134"/>
        </w:trPr>
        <w:tc>
          <w:tcPr>
            <w:tcW w:w="11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AD5" w:rsidRPr="00462AD5" w:rsidRDefault="00462AD5" w:rsidP="00FC7AB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AD5" w:rsidRPr="00462AD5" w:rsidRDefault="00462AD5" w:rsidP="00FC7ABF">
            <w:pPr>
              <w:snapToGrid w:val="0"/>
              <w:jc w:val="both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經費預算400,000元</w:t>
            </w:r>
          </w:p>
          <w:p w:rsidR="00462AD5" w:rsidRPr="00462AD5" w:rsidRDefault="00462AD5" w:rsidP="00FC7ABF">
            <w:pPr>
              <w:snapToGrid w:val="0"/>
              <w:jc w:val="both"/>
              <w:rPr>
                <w:rFonts w:ascii="微軟正黑體" w:hAnsi="微軟正黑體" w:cs="Times New Roman"/>
                <w:color w:val="0070C0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經費執行339</w:t>
            </w:r>
            <w:r w:rsidRPr="00462AD5">
              <w:rPr>
                <w:rFonts w:ascii="微軟正黑體" w:hAnsi="微軟正黑體" w:cs="Times New Roman"/>
                <w:color w:val="0070C0"/>
                <w:sz w:val="24"/>
                <w:szCs w:val="24"/>
              </w:rPr>
              <w:t>,838</w:t>
            </w: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元</w:t>
            </w:r>
          </w:p>
          <w:p w:rsidR="00462AD5" w:rsidRPr="00462AD5" w:rsidRDefault="00462AD5" w:rsidP="00FC7A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/>
                <w:sz w:val="24"/>
                <w:szCs w:val="24"/>
              </w:rPr>
            </w:pP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執行率8</w:t>
            </w:r>
            <w:r w:rsidRPr="00462AD5">
              <w:rPr>
                <w:rFonts w:ascii="微軟正黑體" w:hAnsi="微軟正黑體" w:cs="Times New Roman"/>
                <w:color w:val="0070C0"/>
                <w:sz w:val="24"/>
                <w:szCs w:val="24"/>
              </w:rPr>
              <w:t>4.96</w:t>
            </w:r>
            <w:r w:rsidRPr="00462AD5">
              <w:rPr>
                <w:rFonts w:ascii="微軟正黑體" w:hAnsi="微軟正黑體" w:cs="Times New Roman" w:hint="eastAsia"/>
                <w:color w:val="0070C0"/>
                <w:sz w:val="24"/>
                <w:szCs w:val="24"/>
              </w:rPr>
              <w:t>％</w:t>
            </w:r>
          </w:p>
        </w:tc>
      </w:tr>
    </w:tbl>
    <w:p w:rsidR="00AA0F4D" w:rsidRPr="00462AD5" w:rsidRDefault="00AA0F4D">
      <w:pPr>
        <w:rPr>
          <w:rFonts w:hint="eastAsia"/>
        </w:rPr>
      </w:pPr>
    </w:p>
    <w:sectPr w:rsidR="00AA0F4D" w:rsidRPr="00462AD5" w:rsidSect="00462AD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05"/>
    <w:rsid w:val="0002076E"/>
    <w:rsid w:val="00031B3E"/>
    <w:rsid w:val="00057192"/>
    <w:rsid w:val="00105A88"/>
    <w:rsid w:val="002773A0"/>
    <w:rsid w:val="0030475C"/>
    <w:rsid w:val="0033741F"/>
    <w:rsid w:val="004109C4"/>
    <w:rsid w:val="00462AD5"/>
    <w:rsid w:val="00475DCC"/>
    <w:rsid w:val="00483CDC"/>
    <w:rsid w:val="004A0330"/>
    <w:rsid w:val="004B0FC5"/>
    <w:rsid w:val="004D3E42"/>
    <w:rsid w:val="00520349"/>
    <w:rsid w:val="00527A4D"/>
    <w:rsid w:val="00547C20"/>
    <w:rsid w:val="0058060E"/>
    <w:rsid w:val="005A32E0"/>
    <w:rsid w:val="005C3A86"/>
    <w:rsid w:val="00617E14"/>
    <w:rsid w:val="00692EFF"/>
    <w:rsid w:val="006C1EC9"/>
    <w:rsid w:val="00752786"/>
    <w:rsid w:val="007A4593"/>
    <w:rsid w:val="007D367E"/>
    <w:rsid w:val="00800291"/>
    <w:rsid w:val="008055A0"/>
    <w:rsid w:val="00831AC5"/>
    <w:rsid w:val="008861EB"/>
    <w:rsid w:val="008B16E4"/>
    <w:rsid w:val="008D1D77"/>
    <w:rsid w:val="008D6FA2"/>
    <w:rsid w:val="00980BCF"/>
    <w:rsid w:val="00A36B37"/>
    <w:rsid w:val="00AA0F4D"/>
    <w:rsid w:val="00AC0D27"/>
    <w:rsid w:val="00AC3D3D"/>
    <w:rsid w:val="00B535A7"/>
    <w:rsid w:val="00BA258F"/>
    <w:rsid w:val="00BC3B05"/>
    <w:rsid w:val="00BF1F42"/>
    <w:rsid w:val="00C22E11"/>
    <w:rsid w:val="00C74E8F"/>
    <w:rsid w:val="00C76862"/>
    <w:rsid w:val="00C9603A"/>
    <w:rsid w:val="00CB30B6"/>
    <w:rsid w:val="00CC37B0"/>
    <w:rsid w:val="00CF5EFC"/>
    <w:rsid w:val="00CF611F"/>
    <w:rsid w:val="00D9360C"/>
    <w:rsid w:val="00DD4B9F"/>
    <w:rsid w:val="00E166D6"/>
    <w:rsid w:val="00EF6851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A36B"/>
  <w15:chartTrackingRefBased/>
  <w15:docId w15:val="{33BFC18E-87E5-4652-8C9D-20CC621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05"/>
    <w:pPr>
      <w:widowControl w:val="0"/>
      <w:spacing w:line="420" w:lineRule="exact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BC3B0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卑南壹 字元,標1 字元"/>
    <w:link w:val="a3"/>
    <w:uiPriority w:val="34"/>
    <w:rsid w:val="00BC3B05"/>
    <w:rPr>
      <w:rFonts w:ascii="新細明體" w:eastAsia="新細明體" w:hAnsi="新細明體" w:cs="新細明體"/>
      <w:kern w:val="0"/>
      <w:sz w:val="28"/>
      <w:szCs w:val="24"/>
    </w:rPr>
  </w:style>
  <w:style w:type="table" w:styleId="a5">
    <w:name w:val="Table Grid"/>
    <w:basedOn w:val="a1"/>
    <w:uiPriority w:val="39"/>
    <w:rsid w:val="00BC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t蔡玉子</dc:creator>
  <cp:keywords/>
  <dc:description/>
  <cp:lastModifiedBy>t蔡玉子</cp:lastModifiedBy>
  <cp:revision>2</cp:revision>
  <dcterms:created xsi:type="dcterms:W3CDTF">2021-01-27T07:29:00Z</dcterms:created>
  <dcterms:modified xsi:type="dcterms:W3CDTF">2021-01-27T07:29:00Z</dcterms:modified>
</cp:coreProperties>
</file>