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1DA4" w14:textId="3686A47F" w:rsidR="00185004" w:rsidRDefault="00BE7719">
      <w:pPr>
        <w:ind w:left="32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313616129"/>
        </w:sdtPr>
        <w:sdtEndPr>
          <w:rPr>
            <w:rFonts w:ascii="BiauKai" w:eastAsia="BiauKai" w:hAnsi="BiauKai" w:cs="BiauKai"/>
            <w:b/>
            <w:sz w:val="32"/>
          </w:rPr>
        </w:sdtEndPr>
        <w:sdtContent>
          <w:r w:rsidR="003A24FB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中國文化大學</w:t>
          </w:r>
          <w:r w:rsidR="003A24FB" w:rsidRPr="000C43BF">
            <w:rPr>
              <w:rFonts w:ascii="BiauKai" w:eastAsia="BiauKai" w:hAnsi="BiauKai" w:cs="BiauKai"/>
              <w:b/>
              <w:sz w:val="32"/>
            </w:rPr>
            <w:t>1</w:t>
          </w:r>
          <w:r w:rsidR="00C33C5B">
            <w:rPr>
              <w:rFonts w:ascii="BiauKai" w:eastAsia="BiauKai" w:hAnsi="BiauKai" w:cs="BiauKai"/>
              <w:b/>
              <w:sz w:val="32"/>
              <w:lang w:val="de-DE"/>
            </w:rPr>
            <w:t>10</w:t>
          </w:r>
          <w:r w:rsidR="003A24FB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年度高教深耕計畫活動成果紀錄表</w:t>
          </w:r>
        </w:sdtContent>
      </w:sdt>
    </w:p>
    <w:tbl>
      <w:tblPr>
        <w:tblStyle w:val="10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017"/>
      </w:tblGrid>
      <w:tr w:rsidR="00185004" w14:paraId="5F3D1822" w14:textId="77777777" w:rsidTr="000034F4">
        <w:trPr>
          <w:trHeight w:val="379"/>
        </w:trPr>
        <w:tc>
          <w:tcPr>
            <w:tcW w:w="1285" w:type="dxa"/>
          </w:tcPr>
          <w:p w14:paraId="72E273ED" w14:textId="77777777" w:rsidR="00185004" w:rsidRDefault="00BE7719">
            <w:pPr>
              <w:jc w:val="center"/>
              <w:rPr>
                <w:rFonts w:ascii="BiauKai" w:eastAsia="BiauKai" w:hAnsi="BiauKai" w:cs="BiauKai"/>
              </w:rPr>
            </w:pPr>
            <w:sdt>
              <w:sdtPr>
                <w:tag w:val="goog_rdk_2"/>
                <w:id w:val="1808357248"/>
              </w:sdtPr>
              <w:sdtEndPr>
                <w:rPr>
                  <w:rFonts w:ascii="BiauKai" w:eastAsia="BiauKai" w:hAnsi="BiauKai" w:cs="BiauKai"/>
                  <w:b/>
                </w:rPr>
              </w:sdtEndPr>
              <w:sdtContent>
                <w:r w:rsidR="003A24FB" w:rsidRPr="000C43BF">
                  <w:rPr>
                    <w:rFonts w:ascii="微軟正黑體" w:eastAsia="微軟正黑體" w:hAnsi="微軟正黑體" w:cs="微軟正黑體" w:hint="eastAsia"/>
                    <w:b/>
                  </w:rPr>
                  <w:t>主題</w:t>
                </w:r>
              </w:sdtContent>
            </w:sdt>
          </w:p>
        </w:tc>
        <w:tc>
          <w:tcPr>
            <w:tcW w:w="9007" w:type="dxa"/>
            <w:gridSpan w:val="2"/>
          </w:tcPr>
          <w:p w14:paraId="74864CCC" w14:textId="4BC575E1" w:rsidR="00185004" w:rsidRPr="00C33C5B" w:rsidRDefault="00C33C5B">
            <w:r w:rsidRPr="00C343FB">
              <w:rPr>
                <w:rFonts w:ascii="標楷體" w:eastAsia="標楷體" w:hAnsi="標楷體" w:cs="BiauKai" w:hint="eastAsia"/>
                <w:sz w:val="26"/>
                <w:szCs w:val="26"/>
              </w:rPr>
              <w:t>架接SDG16與難民 －</w:t>
            </w:r>
            <w:r w:rsidR="00D3673B">
              <w:rPr>
                <w:rFonts w:ascii="標楷體" w:eastAsia="標楷體" w:hAnsi="標楷體" w:cs="BiauKai" w:hint="eastAsia"/>
                <w:sz w:val="26"/>
                <w:szCs w:val="26"/>
              </w:rPr>
              <w:t>台</w:t>
            </w:r>
            <w:r w:rsidRPr="00C343FB">
              <w:rPr>
                <w:rFonts w:ascii="標楷體" w:eastAsia="標楷體" w:hAnsi="標楷體" w:cs="BiauKai" w:hint="eastAsia"/>
                <w:sz w:val="26"/>
                <w:szCs w:val="26"/>
              </w:rPr>
              <w:t>灣和全球的難民困境與解方</w:t>
            </w:r>
          </w:p>
        </w:tc>
      </w:tr>
      <w:tr w:rsidR="00185004" w14:paraId="192CB829" w14:textId="77777777" w:rsidTr="000034F4">
        <w:trPr>
          <w:trHeight w:val="2684"/>
        </w:trPr>
        <w:tc>
          <w:tcPr>
            <w:tcW w:w="1285" w:type="dxa"/>
          </w:tcPr>
          <w:p w14:paraId="45D3AB17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645769EB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0887510A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A3C98FD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11C61022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7665A33E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43478E3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5C0E5D93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2E28CAB0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6DF48632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58CD183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F26A6C2" w14:textId="77777777" w:rsidR="00185004" w:rsidRPr="000C43BF" w:rsidRDefault="00BE771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3"/>
                <w:id w:val="452982734"/>
              </w:sdtPr>
              <w:sdtEndPr>
                <w:rPr>
                  <w:rFonts w:ascii="微軟正黑體" w:eastAsia="微軟正黑體" w:hAnsi="微軟正黑體" w:cs="微軟正黑體"/>
                  <w:b/>
                </w:rPr>
              </w:sdtEndPr>
              <w:sdtContent>
                <w:r w:rsidR="003A24FB" w:rsidRPr="000C43BF">
                  <w:rPr>
                    <w:rFonts w:ascii="微軟正黑體" w:eastAsia="微軟正黑體" w:hAnsi="微軟正黑體" w:cs="微軟正黑體"/>
                    <w:b/>
                  </w:rPr>
                  <w:t>內容</w:t>
                </w:r>
              </w:sdtContent>
            </w:sdt>
          </w:p>
          <w:p w14:paraId="18D843D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BAF16AC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705AB9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F9470EF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CBD59B1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7269F1C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9007" w:type="dxa"/>
            <w:gridSpan w:val="2"/>
          </w:tcPr>
          <w:p w14:paraId="2FB2DDC6" w14:textId="77777777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主辦單位：教務處綜合業務組</w:t>
            </w:r>
          </w:p>
          <w:p w14:paraId="7BF2BE48" w14:textId="04610C1F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活動日期：1</w:t>
            </w:r>
            <w:r w:rsidR="00C33C5B">
              <w:rPr>
                <w:rFonts w:ascii="標楷體" w:eastAsia="標楷體" w:hAnsi="標楷體" w:cs="BiauKai"/>
                <w:sz w:val="26"/>
                <w:szCs w:val="26"/>
              </w:rPr>
              <w:t>10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年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6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月</w:t>
            </w:r>
            <w:r w:rsidR="000034F4" w:rsidRPr="00F509B2">
              <w:rPr>
                <w:rFonts w:ascii="標楷體" w:eastAsia="標楷體" w:hAnsi="標楷體" w:cs="BiauKai"/>
                <w:sz w:val="26"/>
                <w:szCs w:val="26"/>
              </w:rPr>
              <w:t>1</w:t>
            </w:r>
            <w:r w:rsidR="00C33C5B">
              <w:rPr>
                <w:rFonts w:ascii="標楷體" w:eastAsia="標楷體" w:hAnsi="標楷體" w:cs="BiauKai"/>
                <w:sz w:val="26"/>
                <w:szCs w:val="26"/>
              </w:rPr>
              <w:t>6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日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18：00-</w:t>
            </w:r>
            <w:r w:rsidR="00BE7719">
              <w:rPr>
                <w:rFonts w:ascii="標楷體" w:eastAsia="標楷體" w:hAnsi="標楷體" w:cs="BiauKai" w:hint="eastAsia"/>
                <w:sz w:val="26"/>
                <w:szCs w:val="26"/>
              </w:rPr>
              <w:t>19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：</w:t>
            </w:r>
            <w:r w:rsidR="00BE7719">
              <w:rPr>
                <w:rFonts w:ascii="標楷體" w:eastAsia="標楷體" w:hAnsi="標楷體" w:cs="BiauKai" w:hint="eastAsia"/>
                <w:sz w:val="26"/>
                <w:szCs w:val="26"/>
              </w:rPr>
              <w:t>40</w:t>
            </w:r>
          </w:p>
          <w:p w14:paraId="2A7AC9B1" w14:textId="605B1640" w:rsidR="00185004" w:rsidRPr="00C33C5B" w:rsidRDefault="003A24FB">
            <w:pPr>
              <w:rPr>
                <w:rFonts w:ascii="標楷體" w:eastAsia="標楷體" w:hAnsi="標楷體" w:cs="BiauKai"/>
                <w:sz w:val="26"/>
                <w:szCs w:val="26"/>
                <w:lang w:val="de-DE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活動地點：</w:t>
            </w:r>
            <w:proofErr w:type="gramStart"/>
            <w:r w:rsidR="00C33C5B">
              <w:rPr>
                <w:rFonts w:ascii="標楷體" w:eastAsia="標楷體" w:hAnsi="標楷體" w:cs="BiauKai" w:hint="eastAsia"/>
                <w:sz w:val="26"/>
                <w:szCs w:val="26"/>
              </w:rPr>
              <w:t>線上</w:t>
            </w:r>
            <w:proofErr w:type="gramEnd"/>
            <w:r w:rsidR="00276F3B">
              <w:rPr>
                <w:rFonts w:ascii="標楷體" w:eastAsia="標楷體" w:hAnsi="標楷體" w:cs="BiauKai"/>
                <w:sz w:val="26"/>
                <w:szCs w:val="26"/>
                <w:lang w:val="de-DE"/>
              </w:rPr>
              <w:t>T</w:t>
            </w:r>
            <w:r w:rsidR="00C33C5B">
              <w:rPr>
                <w:rFonts w:ascii="標楷體" w:eastAsia="標楷體" w:hAnsi="標楷體" w:cs="BiauKai"/>
                <w:sz w:val="26"/>
                <w:szCs w:val="26"/>
                <w:lang w:val="de-DE"/>
              </w:rPr>
              <w:t>eams</w:t>
            </w:r>
            <w:r w:rsidR="00C33C5B">
              <w:rPr>
                <w:rFonts w:ascii="標楷體" w:eastAsia="標楷體" w:hAnsi="標楷體" w:cs="BiauKai" w:hint="eastAsia"/>
                <w:sz w:val="26"/>
                <w:szCs w:val="26"/>
                <w:lang w:val="de-DE"/>
              </w:rPr>
              <w:t>系統</w:t>
            </w:r>
          </w:p>
          <w:p w14:paraId="439856C1" w14:textId="5085E5E9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主 講 者：</w:t>
            </w:r>
            <w:r w:rsidR="00C33C5B">
              <w:rPr>
                <w:rFonts w:ascii="標楷體" w:eastAsia="標楷體" w:hAnsi="標楷體" w:cs="BiauKai" w:hint="eastAsia"/>
                <w:sz w:val="26"/>
                <w:szCs w:val="26"/>
              </w:rPr>
              <w:t>林姝函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</w:t>
            </w:r>
            <w:r w:rsidR="00C33C5B">
              <w:rPr>
                <w:rFonts w:ascii="標楷體" w:eastAsia="標楷體" w:hAnsi="標楷體" w:cs="BiauKai" w:hint="eastAsia"/>
                <w:sz w:val="26"/>
                <w:szCs w:val="26"/>
              </w:rPr>
              <w:t>專員</w:t>
            </w:r>
          </w:p>
          <w:p w14:paraId="46450095" w14:textId="02E018D9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參與人數：</w:t>
            </w:r>
            <w:r w:rsidR="00C33C5B">
              <w:rPr>
                <w:rFonts w:ascii="標楷體" w:eastAsia="標楷體" w:hAnsi="標楷體" w:cs="BiauKai"/>
                <w:sz w:val="26"/>
                <w:szCs w:val="26"/>
                <w:lang w:val="de-DE"/>
              </w:rPr>
              <w:t>4</w:t>
            </w:r>
            <w:r w:rsidR="0053302E">
              <w:rPr>
                <w:rFonts w:ascii="標楷體" w:eastAsia="標楷體" w:hAnsi="標楷體" w:cs="BiauKai" w:hint="eastAsia"/>
                <w:sz w:val="26"/>
                <w:szCs w:val="26"/>
                <w:lang w:val="de-DE"/>
              </w:rPr>
              <w:t>1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人</w:t>
            </w:r>
          </w:p>
          <w:p w14:paraId="60341F21" w14:textId="7CDE1B60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內容：</w:t>
            </w:r>
          </w:p>
          <w:p w14:paraId="2B061A2A" w14:textId="77777777" w:rsidR="00F559E0" w:rsidRDefault="000034F4" w:rsidP="00F559E0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本次演講</w:t>
            </w:r>
            <w:r w:rsidR="00C33C5B">
              <w:rPr>
                <w:rFonts w:ascii="標楷體" w:eastAsia="標楷體" w:hAnsi="標楷體" w:cs="BiauKai" w:hint="eastAsia"/>
                <w:sz w:val="26"/>
                <w:szCs w:val="26"/>
              </w:rPr>
              <w:t>將</w:t>
            </w:r>
            <w:r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SDGs中的第</w:t>
            </w:r>
            <w:r w:rsidR="00C33C5B">
              <w:rPr>
                <w:rFonts w:ascii="標楷體" w:eastAsia="標楷體" w:hAnsi="標楷體" w:cs="BiauKai"/>
                <w:sz w:val="26"/>
                <w:szCs w:val="26"/>
                <w:lang w:val="de-DE"/>
              </w:rPr>
              <w:t>16</w:t>
            </w:r>
            <w:r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項</w:t>
            </w:r>
            <w:r w:rsidR="00C33C5B">
              <w:rPr>
                <w:rFonts w:ascii="Cambria" w:eastAsia="標楷體" w:hAnsi="Cambria" w:cs="BiauKai" w:hint="eastAsia"/>
                <w:sz w:val="26"/>
                <w:szCs w:val="26"/>
              </w:rPr>
              <w:t>「促進和平多元的社會，確保司法平等建立具公信力且廣納民意的體系」及難民議題做連接</w:t>
            </w:r>
            <w:r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。</w:t>
            </w:r>
          </w:p>
          <w:p w14:paraId="2533ABAE" w14:textId="77777777" w:rsidR="005F68A3" w:rsidRDefault="00C33C5B" w:rsidP="005F68A3">
            <w:pPr>
              <w:pStyle w:val="a9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BiauKai"/>
                <w:sz w:val="26"/>
                <w:szCs w:val="26"/>
              </w:rPr>
            </w:pPr>
            <w:r w:rsidRPr="00F559E0">
              <w:rPr>
                <w:rFonts w:ascii="標楷體" w:eastAsia="標楷體" w:hAnsi="標楷體" w:cs="BiauKai" w:hint="eastAsia"/>
                <w:sz w:val="26"/>
                <w:szCs w:val="26"/>
              </w:rPr>
              <w:t>難民之定義</w:t>
            </w:r>
            <w:bookmarkStart w:id="0" w:name="_GoBack"/>
            <w:bookmarkEnd w:id="0"/>
          </w:p>
          <w:p w14:paraId="5BA00E42" w14:textId="755050AB" w:rsidR="00F559E0" w:rsidRPr="005F68A3" w:rsidRDefault="00F559E0" w:rsidP="005F68A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BiauKai"/>
                <w:sz w:val="26"/>
                <w:szCs w:val="26"/>
              </w:rPr>
            </w:pPr>
            <w:r w:rsidRPr="005F68A3">
              <w:rPr>
                <w:rFonts w:ascii="Cambria" w:eastAsia="標楷體" w:hAnsi="Cambria" w:cs="BiauKai" w:hint="eastAsia"/>
                <w:sz w:val="26"/>
                <w:szCs w:val="26"/>
              </w:rPr>
              <w:t>起源：始於中世紀，當時為異教徒而產生的庇護。</w:t>
            </w:r>
          </w:p>
          <w:p w14:paraId="06B59D08" w14:textId="6BEA7338" w:rsidR="00F509B2" w:rsidRPr="00F559E0" w:rsidRDefault="00F559E0" w:rsidP="00F559E0">
            <w:pPr>
              <w:pStyle w:val="a9"/>
              <w:numPr>
                <w:ilvl w:val="0"/>
                <w:numId w:val="10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定義：</w:t>
            </w:r>
            <w:r w:rsidR="00C33C5B" w:rsidRPr="00F559E0">
              <w:rPr>
                <w:rFonts w:ascii="Cambria" w:eastAsia="標楷體" w:hAnsi="Cambria" w:cs="BiauKai"/>
                <w:sz w:val="26"/>
                <w:szCs w:val="26"/>
              </w:rPr>
              <w:t>因迫害、戰爭或暴力而被迫離開自己國家的人士，他們是有正當理由畏懼由於其種族、宗教、國籍、政治見解或於某一特殊團體而遭到迫害。</w:t>
            </w:r>
            <w:r w:rsidRPr="00F559E0">
              <w:rPr>
                <w:rFonts w:ascii="Cambria" w:eastAsia="標楷體" w:hAnsi="Cambria" w:cs="BiauKai" w:hint="eastAsia"/>
                <w:sz w:val="26"/>
                <w:szCs w:val="26"/>
              </w:rPr>
              <w:t>（須為外國人、無國籍者，屬於特定的社會團體）</w:t>
            </w:r>
          </w:p>
          <w:p w14:paraId="4C672CEE" w14:textId="77777777" w:rsidR="00F559E0" w:rsidRPr="00F559E0" w:rsidRDefault="00F559E0" w:rsidP="00F559E0">
            <w:pPr>
              <w:pStyle w:val="a9"/>
              <w:numPr>
                <w:ilvl w:val="0"/>
                <w:numId w:val="10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 w:rsidRPr="00F559E0">
              <w:rPr>
                <w:rFonts w:ascii="Cambria" w:eastAsia="標楷體" w:hAnsi="Cambria" w:cs="BiauKai" w:hint="eastAsia"/>
                <w:sz w:val="26"/>
                <w:szCs w:val="26"/>
              </w:rPr>
              <w:t>當代社會衍伸出的因素：</w:t>
            </w:r>
          </w:p>
          <w:p w14:paraId="760DA1CE" w14:textId="26289245" w:rsidR="00C33C5B" w:rsidRPr="00F559E0" w:rsidRDefault="00F559E0" w:rsidP="00F559E0">
            <w:pPr>
              <w:pStyle w:val="a9"/>
              <w:numPr>
                <w:ilvl w:val="0"/>
                <w:numId w:val="11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 w:rsidRPr="00F559E0">
              <w:rPr>
                <w:rFonts w:ascii="Cambria" w:eastAsia="標楷體" w:hAnsi="Cambria" w:cs="BiauKai" w:hint="eastAsia"/>
                <w:sz w:val="26"/>
                <w:szCs w:val="26"/>
              </w:rPr>
              <w:t>屬於</w:t>
            </w:r>
            <w:r>
              <w:rPr>
                <w:rFonts w:ascii="Cambria" w:eastAsia="標楷體" w:hAnsi="Cambria" w:cs="BiauKai" w:hint="eastAsia"/>
                <w:sz w:val="26"/>
                <w:szCs w:val="26"/>
              </w:rPr>
              <w:t>同性戀</w:t>
            </w:r>
            <w:r w:rsidRPr="00F559E0">
              <w:rPr>
                <w:rFonts w:ascii="Cambria" w:eastAsia="標楷體" w:hAnsi="Cambria" w:cs="BiauKai" w:hint="eastAsia"/>
                <w:sz w:val="26"/>
                <w:szCs w:val="26"/>
                <w:lang w:val="de-DE"/>
              </w:rPr>
              <w:t>族群</w:t>
            </w:r>
            <w:r>
              <w:rPr>
                <w:rFonts w:ascii="Cambria" w:eastAsia="標楷體" w:hAnsi="Cambria" w:cs="BiauKai"/>
                <w:sz w:val="26"/>
                <w:szCs w:val="26"/>
                <w:lang w:val="de-DE"/>
              </w:rPr>
              <w:t>(</w:t>
            </w:r>
            <w:r w:rsidRPr="00F559E0">
              <w:rPr>
                <w:rFonts w:ascii="Cambria" w:eastAsia="標楷體" w:hAnsi="Cambria" w:cs="BiauKai"/>
                <w:sz w:val="26"/>
                <w:szCs w:val="26"/>
                <w:lang w:val="de-DE"/>
              </w:rPr>
              <w:t>LGBTQ</w:t>
            </w:r>
            <w:r>
              <w:rPr>
                <w:rFonts w:ascii="Cambria" w:eastAsia="標楷體" w:hAnsi="Cambria" w:cs="BiauKai"/>
                <w:sz w:val="26"/>
                <w:szCs w:val="26"/>
                <w:lang w:val="de-DE"/>
              </w:rPr>
              <w:t xml:space="preserve"> gruoup)</w:t>
            </w:r>
            <w:r w:rsidRPr="00F559E0">
              <w:rPr>
                <w:rFonts w:ascii="Cambria" w:eastAsia="標楷體" w:hAnsi="Cambria" w:cs="BiauKai" w:hint="eastAsia"/>
                <w:sz w:val="26"/>
                <w:szCs w:val="26"/>
                <w:lang w:val="de-DE"/>
              </w:rPr>
              <w:t>的難民們，因各國對於此類族群之觀點和理解有所不同，因此易產生定義上的落差。</w:t>
            </w:r>
          </w:p>
          <w:p w14:paraId="3CBA9731" w14:textId="77777777" w:rsidR="00F559E0" w:rsidRDefault="00F559E0" w:rsidP="00F559E0">
            <w:pPr>
              <w:pStyle w:val="a9"/>
              <w:numPr>
                <w:ilvl w:val="0"/>
                <w:numId w:val="11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氣候變遷、海平面上升，居住地消失而產生的難民。</w:t>
            </w:r>
          </w:p>
          <w:p w14:paraId="5BDF9A3E" w14:textId="18E8F7D4" w:rsidR="00F559E0" w:rsidRDefault="00F559E0" w:rsidP="00F559E0">
            <w:pPr>
              <w:pStyle w:val="a9"/>
              <w:numPr>
                <w:ilvl w:val="0"/>
                <w:numId w:val="9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國際現況</w:t>
            </w:r>
          </w:p>
          <w:p w14:paraId="55A1E762" w14:textId="5D2F78B6" w:rsidR="00234AC9" w:rsidRPr="00234AC9" w:rsidRDefault="00234AC9" w:rsidP="00234AC9">
            <w:pPr>
              <w:pStyle w:val="a9"/>
              <w:numPr>
                <w:ilvl w:val="0"/>
                <w:numId w:val="12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難民主要來自五大國家：敘利亞、委內瑞拉、阿富汗、南蘇丹、緬甸。</w:t>
            </w:r>
          </w:p>
          <w:p w14:paraId="45ECECE9" w14:textId="7A3B339C" w:rsidR="00F559E0" w:rsidRDefault="00E07F58" w:rsidP="00F559E0">
            <w:pPr>
              <w:pStyle w:val="a9"/>
              <w:numPr>
                <w:ilvl w:val="0"/>
                <w:numId w:val="12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接收難民的</w:t>
            </w:r>
            <w:r w:rsidR="00234AC9">
              <w:rPr>
                <w:rFonts w:ascii="Cambria" w:eastAsia="標楷體" w:hAnsi="Cambria" w:cs="BiauKai" w:hint="eastAsia"/>
                <w:sz w:val="26"/>
                <w:szCs w:val="26"/>
              </w:rPr>
              <w:t>五</w:t>
            </w:r>
            <w:r>
              <w:rPr>
                <w:rFonts w:ascii="Cambria" w:eastAsia="標楷體" w:hAnsi="Cambria" w:cs="BiauKai" w:hint="eastAsia"/>
                <w:sz w:val="26"/>
                <w:szCs w:val="26"/>
              </w:rPr>
              <w:t>大國家為：土耳其、</w:t>
            </w:r>
            <w:r w:rsidR="00234AC9">
              <w:rPr>
                <w:rFonts w:ascii="Cambria" w:eastAsia="標楷體" w:hAnsi="Cambria" w:cs="BiauKai" w:hint="eastAsia"/>
                <w:sz w:val="26"/>
                <w:szCs w:val="26"/>
              </w:rPr>
              <w:t>哥倫比亞、巴基斯坦、烏干達、德國</w:t>
            </w:r>
            <w:r>
              <w:rPr>
                <w:rFonts w:ascii="Cambria" w:eastAsia="標楷體" w:hAnsi="Cambria" w:cs="BiauKai" w:hint="eastAsia"/>
                <w:sz w:val="26"/>
                <w:szCs w:val="26"/>
              </w:rPr>
              <w:t>。可知「地域」與接收難民之國家有很大關連。</w:t>
            </w:r>
          </w:p>
          <w:p w14:paraId="732D8AE0" w14:textId="77777777" w:rsidR="00E07F58" w:rsidRPr="005F68A3" w:rsidRDefault="00E07F58" w:rsidP="00F559E0">
            <w:pPr>
              <w:pStyle w:val="a9"/>
              <w:numPr>
                <w:ilvl w:val="0"/>
                <w:numId w:val="12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艾蘭庫迪之死：</w:t>
            </w:r>
            <w:r>
              <w:rPr>
                <w:rFonts w:ascii="Cambria" w:eastAsia="標楷體" w:hAnsi="Cambria" w:cs="BiauKai"/>
                <w:sz w:val="26"/>
                <w:szCs w:val="26"/>
                <w:lang w:val="de-DE"/>
              </w:rPr>
              <w:t>2015</w:t>
            </w:r>
            <w:r>
              <w:rPr>
                <w:rFonts w:ascii="Cambria" w:eastAsia="標楷體" w:hAnsi="Cambria" w:cs="BiauKai" w:hint="eastAsia"/>
                <w:sz w:val="26"/>
                <w:szCs w:val="26"/>
                <w:lang w:val="de-DE"/>
              </w:rPr>
              <w:t>時一名土耳其記者拍下一張照片，造成當時</w:t>
            </w:r>
            <w:r w:rsidR="005F68A3">
              <w:rPr>
                <w:rFonts w:ascii="Cambria" w:eastAsia="標楷體" w:hAnsi="Cambria" w:cs="BiauKai" w:hint="eastAsia"/>
                <w:sz w:val="26"/>
                <w:szCs w:val="26"/>
                <w:lang w:val="de-DE"/>
              </w:rPr>
              <w:t>社會轟動。也因此可以看見社會對於政府的影響和施壓。</w:t>
            </w:r>
          </w:p>
          <w:p w14:paraId="07C7539F" w14:textId="77777777" w:rsidR="005F68A3" w:rsidRDefault="005F68A3" w:rsidP="005F68A3">
            <w:pPr>
              <w:pStyle w:val="a9"/>
              <w:numPr>
                <w:ilvl w:val="0"/>
                <w:numId w:val="9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難民在台現況</w:t>
            </w:r>
          </w:p>
          <w:p w14:paraId="74199728" w14:textId="77777777" w:rsidR="005F68A3" w:rsidRDefault="005F68A3" w:rsidP="005F68A3">
            <w:pPr>
              <w:pStyle w:val="a9"/>
              <w:numPr>
                <w:ilvl w:val="0"/>
                <w:numId w:val="13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難民法：在台沒有一部獨立的難民法，只有相關的法條列在各法之下，且當中也有許多特殊規定（限制國籍、身份）或是門檻限定模糊之處。</w:t>
            </w:r>
          </w:p>
          <w:p w14:paraId="7BCD6C27" w14:textId="67323C85" w:rsidR="005F68A3" w:rsidRDefault="005F68A3" w:rsidP="005F68A3">
            <w:pPr>
              <w:pStyle w:val="a9"/>
              <w:numPr>
                <w:ilvl w:val="0"/>
                <w:numId w:val="13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困境：多數難民來台屬於合法居留，因此身分不明確，無法規劃未來一年甚至半年的計畫。</w:t>
            </w:r>
          </w:p>
          <w:p w14:paraId="64B44F71" w14:textId="77777777" w:rsidR="005F68A3" w:rsidRDefault="005F68A3" w:rsidP="005F68A3">
            <w:pPr>
              <w:pStyle w:val="a9"/>
              <w:numPr>
                <w:ilvl w:val="0"/>
                <w:numId w:val="13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案例：衣索比亞提格雷人因政治因素申請台灣庇護、緬甸人因當局政變申請台灣庇護等。</w:t>
            </w:r>
          </w:p>
          <w:p w14:paraId="7B76CBDD" w14:textId="53B09C4C" w:rsidR="005F68A3" w:rsidRPr="005F68A3" w:rsidRDefault="005F68A3" w:rsidP="005F68A3">
            <w:pPr>
              <w:pStyle w:val="a9"/>
              <w:numPr>
                <w:ilvl w:val="0"/>
                <w:numId w:val="9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將</w:t>
            </w:r>
            <w:r>
              <w:rPr>
                <w:rFonts w:ascii="Cambria" w:eastAsia="標楷體" w:hAnsi="Cambria" w:cs="BiauKai"/>
                <w:sz w:val="26"/>
                <w:szCs w:val="26"/>
                <w:lang w:val="de-DE"/>
              </w:rPr>
              <w:t>SDGs16</w:t>
            </w:r>
            <w:r>
              <w:rPr>
                <w:rFonts w:ascii="Cambria" w:eastAsia="標楷體" w:hAnsi="Cambria" w:cs="BiauKai" w:hint="eastAsia"/>
                <w:sz w:val="26"/>
                <w:szCs w:val="26"/>
                <w:lang w:val="de-DE"/>
              </w:rPr>
              <w:t>用於難民治理</w:t>
            </w:r>
          </w:p>
          <w:p w14:paraId="38689F01" w14:textId="2DB878E4" w:rsidR="00F97016" w:rsidRPr="00F97016" w:rsidRDefault="005F68A3" w:rsidP="00F97016">
            <w:pPr>
              <w:pStyle w:val="a9"/>
              <w:numPr>
                <w:ilvl w:val="0"/>
                <w:numId w:val="14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司法正義：</w:t>
            </w:r>
            <w:r w:rsidR="00F97016">
              <w:rPr>
                <w:rFonts w:ascii="Cambria" w:eastAsia="標楷體" w:hAnsi="Cambria" w:cs="BiauKai" w:hint="eastAsia"/>
                <w:sz w:val="26"/>
                <w:szCs w:val="26"/>
              </w:rPr>
              <w:t>無論是合法或非法入境等，每個人都應有取得司法援助及呈現相關事實給法庭的機會，以確保每個人的訴訟權接收到保障</w:t>
            </w:r>
            <w:r w:rsidR="00F97016">
              <w:rPr>
                <w:rFonts w:ascii="Cambria" w:eastAsia="標楷體" w:hAnsi="Cambria" w:cs="BiauKai" w:hint="eastAsia"/>
                <w:sz w:val="26"/>
                <w:szCs w:val="26"/>
                <w:lang w:val="de-DE"/>
              </w:rPr>
              <w:t>。</w:t>
            </w:r>
          </w:p>
          <w:p w14:paraId="681746A1" w14:textId="698A7EA0" w:rsidR="005F68A3" w:rsidRDefault="005F68A3" w:rsidP="005F68A3">
            <w:pPr>
              <w:pStyle w:val="a9"/>
              <w:numPr>
                <w:ilvl w:val="0"/>
                <w:numId w:val="14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永續民主可咎責的政府</w:t>
            </w:r>
            <w:r w:rsidR="00234AC9">
              <w:rPr>
                <w:rFonts w:ascii="Cambria" w:eastAsia="標楷體" w:hAnsi="Cambria" w:cs="BiauKai" w:hint="eastAsia"/>
                <w:sz w:val="26"/>
                <w:szCs w:val="26"/>
              </w:rPr>
              <w:t>：</w:t>
            </w:r>
            <w:r w:rsidR="00F41062">
              <w:rPr>
                <w:rFonts w:ascii="Cambria" w:eastAsia="標楷體" w:hAnsi="Cambria" w:cs="BiauKai" w:hint="eastAsia"/>
                <w:sz w:val="26"/>
                <w:szCs w:val="26"/>
              </w:rPr>
              <w:t>應建立長期、可信的法案或專案，不只是</w:t>
            </w:r>
            <w:r w:rsidR="00F41062">
              <w:rPr>
                <w:rFonts w:ascii="Cambria" w:eastAsia="標楷體" w:hAnsi="Cambria" w:cs="BiauKai" w:hint="eastAsia"/>
                <w:sz w:val="26"/>
                <w:szCs w:val="26"/>
              </w:rPr>
              <w:lastRenderedPageBreak/>
              <w:t>對難民來說是一個保障，對於政府行政程序上也是相對的流暢。</w:t>
            </w:r>
          </w:p>
          <w:p w14:paraId="0F8AAB36" w14:textId="1CEF17EC" w:rsidR="00F41062" w:rsidRPr="00C343FB" w:rsidRDefault="005F68A3" w:rsidP="00C343FB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 w:rsidRPr="00C343FB">
              <w:rPr>
                <w:rFonts w:ascii="Cambria" w:eastAsia="標楷體" w:hAnsi="Cambria" w:cs="BiauKai" w:hint="eastAsia"/>
                <w:sz w:val="26"/>
                <w:szCs w:val="26"/>
              </w:rPr>
              <w:t>從源頭解決問題</w:t>
            </w:r>
            <w:r w:rsidR="00234AC9" w:rsidRPr="00C343FB">
              <w:rPr>
                <w:rFonts w:ascii="Cambria" w:eastAsia="標楷體" w:hAnsi="Cambria" w:cs="BiauKai" w:hint="eastAsia"/>
                <w:sz w:val="26"/>
                <w:szCs w:val="26"/>
              </w:rPr>
              <w:t>：</w:t>
            </w:r>
            <w:r w:rsidR="00F41062" w:rsidRPr="00C343FB">
              <w:rPr>
                <w:rFonts w:ascii="Cambria" w:eastAsia="標楷體" w:hAnsi="Cambria" w:cs="BiauKai" w:hint="eastAsia"/>
                <w:sz w:val="26"/>
                <w:szCs w:val="26"/>
              </w:rPr>
              <w:t>緬甸聯合政府</w:t>
            </w:r>
            <w:r w:rsidR="00150CA4">
              <w:rPr>
                <w:rFonts w:ascii="Cambria" w:eastAsia="標楷體" w:hAnsi="Cambria" w:cs="BiauKai" w:hint="eastAsia"/>
                <w:sz w:val="26"/>
                <w:szCs w:val="26"/>
              </w:rPr>
              <w:t>提出新的系統，</w:t>
            </w:r>
            <w:r w:rsidR="00F41062" w:rsidRPr="00C343FB">
              <w:rPr>
                <w:rFonts w:ascii="Cambria" w:eastAsia="標楷體" w:hAnsi="Cambria" w:cs="BiauKai" w:hint="eastAsia"/>
                <w:sz w:val="26"/>
                <w:szCs w:val="26"/>
              </w:rPr>
              <w:t>並非譴責他國不</w:t>
            </w:r>
            <w:r w:rsidR="00150CA4">
              <w:rPr>
                <w:rFonts w:ascii="Cambria" w:eastAsia="標楷體" w:hAnsi="Cambria" w:cs="BiauKai" w:hint="eastAsia"/>
                <w:sz w:val="26"/>
                <w:szCs w:val="26"/>
              </w:rPr>
              <w:t>收</w:t>
            </w:r>
            <w:r w:rsidR="00F41062" w:rsidRPr="00C343FB">
              <w:rPr>
                <w:rFonts w:ascii="Cambria" w:eastAsia="標楷體" w:hAnsi="Cambria" w:cs="BiauKai" w:hint="eastAsia"/>
                <w:sz w:val="26"/>
                <w:szCs w:val="26"/>
              </w:rPr>
              <w:t>難民，而是提出新的一套政策，說明為什麼難民不必離開原本的國家</w:t>
            </w:r>
          </w:p>
          <w:p w14:paraId="26730CCE" w14:textId="77777777" w:rsidR="005F68A3" w:rsidRDefault="00150CA4" w:rsidP="00150CA4">
            <w:pPr>
              <w:pStyle w:val="a9"/>
              <w:numPr>
                <w:ilvl w:val="0"/>
                <w:numId w:val="9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從台灣視角檢視</w:t>
            </w:r>
          </w:p>
          <w:p w14:paraId="20DEAB5B" w14:textId="2EBE2789" w:rsidR="00150CA4" w:rsidRDefault="00150CA4" w:rsidP="00150CA4">
            <w:pPr>
              <w:pStyle w:val="a9"/>
              <w:numPr>
                <w:ilvl w:val="0"/>
                <w:numId w:val="16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對於難民身份的想像：難民不單僅至於簡單和狹隘的想像當中。也可能是高知識份子或高收入份子，只因受政治、經濟等因素而成為難民。</w:t>
            </w:r>
          </w:p>
          <w:p w14:paraId="5F7DCD71" w14:textId="77777777" w:rsidR="00150CA4" w:rsidRDefault="00150CA4" w:rsidP="00150CA4">
            <w:pPr>
              <w:pStyle w:val="a9"/>
              <w:numPr>
                <w:ilvl w:val="0"/>
                <w:numId w:val="16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多元且包容社會：透過永續且合理的政策來解決對於難民的刻板印象（例如：工作機會減少、社會福利濫用等）。</w:t>
            </w:r>
          </w:p>
          <w:p w14:paraId="7A75E474" w14:textId="450F4295" w:rsidR="00150CA4" w:rsidRDefault="00150CA4" w:rsidP="00150CA4">
            <w:pPr>
              <w:pStyle w:val="a9"/>
              <w:numPr>
                <w:ilvl w:val="0"/>
                <w:numId w:val="16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資源永續</w:t>
            </w:r>
          </w:p>
          <w:p w14:paraId="244F81A1" w14:textId="15AE195F" w:rsidR="00150CA4" w:rsidRPr="00150CA4" w:rsidRDefault="00150CA4" w:rsidP="00150CA4">
            <w:pPr>
              <w:pStyle w:val="a9"/>
              <w:numPr>
                <w:ilvl w:val="0"/>
                <w:numId w:val="16"/>
              </w:numPr>
              <w:ind w:leftChars="0"/>
              <w:rPr>
                <w:rFonts w:ascii="Cambria" w:eastAsia="標楷體" w:hAnsi="Cambria" w:cs="BiauKai"/>
                <w:sz w:val="26"/>
                <w:szCs w:val="26"/>
              </w:rPr>
            </w:pPr>
            <w:r>
              <w:rPr>
                <w:rFonts w:ascii="Cambria" w:eastAsia="標楷體" w:hAnsi="Cambria" w:cs="BiauKai" w:hint="eastAsia"/>
                <w:sz w:val="26"/>
                <w:szCs w:val="26"/>
              </w:rPr>
              <w:t>憲法架構：台灣對於難民身份是中港澳與他國的定義有所不同，但難民不分國籍，因此台灣仍欠缺一步完整的憲法架構。</w:t>
            </w:r>
          </w:p>
        </w:tc>
      </w:tr>
      <w:tr w:rsidR="00185004" w14:paraId="22EC44B1" w14:textId="77777777" w:rsidTr="00C343FB">
        <w:trPr>
          <w:trHeight w:val="754"/>
        </w:trPr>
        <w:tc>
          <w:tcPr>
            <w:tcW w:w="1285" w:type="dxa"/>
            <w:vAlign w:val="center"/>
          </w:tcPr>
          <w:p w14:paraId="4E428F4F" w14:textId="3BD79886" w:rsidR="00185004" w:rsidRDefault="003A24FB" w:rsidP="00C343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lastRenderedPageBreak/>
              <w:t>活動照片</w:t>
            </w:r>
          </w:p>
        </w:tc>
        <w:tc>
          <w:tcPr>
            <w:tcW w:w="4990" w:type="dxa"/>
            <w:vAlign w:val="bottom"/>
          </w:tcPr>
          <w:p w14:paraId="6A80BBE3" w14:textId="14DEA11D" w:rsidR="00C343FB" w:rsidRDefault="003A24FB" w:rsidP="00C343FB">
            <w:pPr>
              <w:spacing w:line="480" w:lineRule="auto"/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67B4ECC6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活動照片內容說明</w:t>
            </w:r>
          </w:p>
        </w:tc>
      </w:tr>
      <w:tr w:rsidR="00F509B2" w14:paraId="474D12EC" w14:textId="77777777" w:rsidTr="00F509B2">
        <w:trPr>
          <w:trHeight w:val="2575"/>
        </w:trPr>
        <w:tc>
          <w:tcPr>
            <w:tcW w:w="1285" w:type="dxa"/>
            <w:vMerge w:val="restart"/>
          </w:tcPr>
          <w:p w14:paraId="5D140F31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6597C349" w14:textId="00A3D825" w:rsidR="00F509B2" w:rsidRDefault="00276F3B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28A7BC8A" wp14:editId="45F8BD58">
                  <wp:extent cx="3031490" cy="2106930"/>
                  <wp:effectExtent l="0" t="0" r="3810" b="1270"/>
                  <wp:docPr id="5" name="圖片 5" descr="一張含有 文字, 監視器, 螢幕擷取畫面, 電子用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一張含有 文字, 監視器, 螢幕擷取畫面, 電子用品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0A2BA45C" w14:textId="7A5E6ACF" w:rsidR="00F509B2" w:rsidRPr="00276F3B" w:rsidRDefault="00276F3B" w:rsidP="00F509B2">
            <w:pPr>
              <w:jc w:val="center"/>
              <w:rPr>
                <w:rFonts w:ascii="BiauKai" w:eastAsia="BiauKai" w:hAnsi="BiauKai" w:cs="BiauKai"/>
                <w:lang w:val="de-DE"/>
              </w:rPr>
            </w:pPr>
            <w:r w:rsidRPr="00276F3B">
              <w:rPr>
                <w:rFonts w:ascii="Cambria" w:eastAsia="標楷體" w:hAnsi="Cambria" w:cs="BiauKai" w:hint="eastAsia"/>
                <w:sz w:val="26"/>
                <w:szCs w:val="26"/>
              </w:rPr>
              <w:t>S</w:t>
            </w:r>
            <w:r w:rsidRPr="00276F3B">
              <w:rPr>
                <w:rFonts w:ascii="Cambria" w:eastAsia="標楷體" w:hAnsi="Cambria" w:cs="BiauKai"/>
                <w:sz w:val="26"/>
                <w:szCs w:val="26"/>
              </w:rPr>
              <w:t>DGs</w:t>
            </w:r>
            <w:r w:rsidRPr="00276F3B">
              <w:rPr>
                <w:rFonts w:ascii="Cambria" w:eastAsia="標楷體" w:hAnsi="Cambria" w:cs="BiauKai" w:hint="eastAsia"/>
                <w:sz w:val="26"/>
                <w:szCs w:val="26"/>
              </w:rPr>
              <w:t>與難民之連接</w:t>
            </w:r>
          </w:p>
        </w:tc>
      </w:tr>
      <w:tr w:rsidR="00F509B2" w14:paraId="2AC25B83" w14:textId="77777777" w:rsidTr="00F509B2">
        <w:trPr>
          <w:trHeight w:val="2575"/>
        </w:trPr>
        <w:tc>
          <w:tcPr>
            <w:tcW w:w="1285" w:type="dxa"/>
            <w:vMerge/>
          </w:tcPr>
          <w:p w14:paraId="72DBB5BB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71D7CA81" w14:textId="0782CB1A" w:rsidR="00F509B2" w:rsidRDefault="00276F3B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3FB65B5E" wp14:editId="51DC0475">
                  <wp:extent cx="3031490" cy="1699895"/>
                  <wp:effectExtent l="0" t="0" r="381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7E80B590" w14:textId="0C668BFC" w:rsidR="00F509B2" w:rsidRPr="00276F3B" w:rsidRDefault="00276F3B" w:rsidP="00F509B2">
            <w:pPr>
              <w:jc w:val="center"/>
              <w:rPr>
                <w:rFonts w:ascii="BiauKai" w:eastAsia="BiauKai" w:hAnsi="BiauKai" w:cs="BiauKai"/>
              </w:rPr>
            </w:pPr>
            <w:r w:rsidRPr="00276F3B">
              <w:rPr>
                <w:rFonts w:ascii="BiauKai" w:eastAsia="BiauKai" w:hAnsi="BiauKai" w:cs="BiauKai" w:hint="eastAsia"/>
                <w:sz w:val="26"/>
                <w:szCs w:val="26"/>
              </w:rPr>
              <w:t>講師透過圖表解釋難民</w:t>
            </w:r>
          </w:p>
        </w:tc>
      </w:tr>
      <w:tr w:rsidR="00F509B2" w14:paraId="217998EE" w14:textId="77777777" w:rsidTr="00F509B2">
        <w:trPr>
          <w:trHeight w:val="2575"/>
        </w:trPr>
        <w:tc>
          <w:tcPr>
            <w:tcW w:w="1285" w:type="dxa"/>
            <w:vMerge/>
          </w:tcPr>
          <w:p w14:paraId="7D3D705A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390C1CA4" w14:textId="39A0DE1F" w:rsidR="00F509B2" w:rsidRDefault="00276F3B">
            <w:pPr>
              <w:spacing w:line="480" w:lineRule="auto"/>
              <w:jc w:val="center"/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6B7623D3" wp14:editId="2E494A51">
                  <wp:extent cx="3031490" cy="1733550"/>
                  <wp:effectExtent l="0" t="0" r="3810" b="6350"/>
                  <wp:docPr id="6" name="圖片 6" descr="一張含有 水, 室外, 海灘, 鋪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水, 室外, 海灘, 鋪設 的圖片&#10;&#10;自動產生的描述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20B38171" w14:textId="58FADB5D" w:rsidR="00F509B2" w:rsidRDefault="00276F3B" w:rsidP="00F509B2">
            <w:pPr>
              <w:jc w:val="center"/>
              <w:rPr>
                <w:rFonts w:ascii="BiauKai" w:eastAsia="BiauKai" w:hAnsi="BiauKai" w:cs="BiauKai"/>
              </w:rPr>
            </w:pPr>
            <w:r w:rsidRPr="009D60E7">
              <w:rPr>
                <w:rFonts w:ascii="BiauKai" w:eastAsia="BiauKai" w:hAnsi="BiauKai" w:cs="BiauKai" w:hint="eastAsia"/>
                <w:sz w:val="26"/>
                <w:szCs w:val="26"/>
              </w:rPr>
              <w:t>艾</w:t>
            </w:r>
            <w:r w:rsidRPr="00276F3B">
              <w:rPr>
                <w:rFonts w:ascii="BiauKai" w:eastAsia="BiauKai" w:hAnsi="BiauKai" w:cs="BiauKai" w:hint="eastAsia"/>
                <w:sz w:val="26"/>
                <w:szCs w:val="26"/>
              </w:rPr>
              <w:t>蘭庫迪之死</w:t>
            </w:r>
          </w:p>
        </w:tc>
      </w:tr>
      <w:tr w:rsidR="00F509B2" w14:paraId="7A31EF00" w14:textId="77777777" w:rsidTr="004F1479">
        <w:trPr>
          <w:trHeight w:val="2575"/>
        </w:trPr>
        <w:tc>
          <w:tcPr>
            <w:tcW w:w="1285" w:type="dxa"/>
            <w:vMerge/>
          </w:tcPr>
          <w:p w14:paraId="50ECA3DF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215791CF" w14:textId="59DBEFBB" w:rsidR="00F509B2" w:rsidRDefault="00276F3B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bookmarkStart w:id="1" w:name="_heading=h.gjdgxs" w:colFirst="0" w:colLast="0"/>
            <w:bookmarkEnd w:id="1"/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6588BC83" wp14:editId="49B4D6CA">
                  <wp:extent cx="3031490" cy="2106930"/>
                  <wp:effectExtent l="0" t="0" r="3810" b="1270"/>
                  <wp:docPr id="3" name="圖片 3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文字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378165FA" w14:textId="5A8FC80F" w:rsidR="00F509B2" w:rsidRDefault="00276F3B" w:rsidP="004F1479">
            <w:pPr>
              <w:jc w:val="center"/>
              <w:rPr>
                <w:rFonts w:ascii="BiauKai" w:eastAsia="BiauKai" w:hAnsi="BiauKai" w:cs="BiauKai"/>
              </w:rPr>
            </w:pPr>
            <w:r w:rsidRPr="009D60E7">
              <w:rPr>
                <w:rFonts w:ascii="BiauKai" w:eastAsia="BiauKai" w:hAnsi="BiauKai" w:cs="BiauKai" w:hint="eastAsia"/>
                <w:sz w:val="26"/>
                <w:szCs w:val="26"/>
              </w:rPr>
              <w:t>同學於留言區提問</w:t>
            </w:r>
          </w:p>
        </w:tc>
      </w:tr>
      <w:tr w:rsidR="00276F3B" w14:paraId="497F3C03" w14:textId="77777777" w:rsidTr="004F1479">
        <w:trPr>
          <w:trHeight w:val="2575"/>
        </w:trPr>
        <w:tc>
          <w:tcPr>
            <w:tcW w:w="1285" w:type="dxa"/>
            <w:vMerge/>
          </w:tcPr>
          <w:p w14:paraId="6F27BA95" w14:textId="77777777" w:rsidR="00276F3B" w:rsidRDefault="00276F3B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622DE548" w14:textId="084C7E2C" w:rsidR="00276F3B" w:rsidRDefault="00276F3B">
            <w:pPr>
              <w:spacing w:line="480" w:lineRule="auto"/>
              <w:jc w:val="center"/>
              <w:rPr>
                <w:rFonts w:ascii="BiauKai" w:eastAsia="BiauKai" w:hAnsi="BiauKai" w:cs="BiauKai"/>
                <w:noProof/>
              </w:rPr>
            </w:pPr>
            <w:r>
              <w:rPr>
                <w:noProof/>
              </w:rPr>
              <w:drawing>
                <wp:inline distT="0" distB="0" distL="0" distR="0" wp14:anchorId="79912144" wp14:editId="4FB63240">
                  <wp:extent cx="3031490" cy="2106930"/>
                  <wp:effectExtent l="0" t="0" r="3810" b="1270"/>
                  <wp:docPr id="4" name="圖片 4" descr="一張含有 文字, 螢幕, 黑色, 數個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文字, 螢幕, 黑色, 數個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15C1DE70" w14:textId="662F0E8D" w:rsidR="00276F3B" w:rsidRDefault="00276F3B" w:rsidP="004F1479">
            <w:pPr>
              <w:jc w:val="center"/>
              <w:rPr>
                <w:rFonts w:asciiTheme="minorEastAsia" w:hAnsiTheme="minorEastAsia" w:cs="BiauKai"/>
              </w:rPr>
            </w:pPr>
            <w:r w:rsidRPr="009D60E7">
              <w:rPr>
                <w:rFonts w:ascii="BiauKai" w:eastAsia="BiauKai" w:hAnsi="BiauKai" w:cs="BiauKai" w:hint="eastAsia"/>
                <w:sz w:val="26"/>
                <w:szCs w:val="26"/>
              </w:rPr>
              <w:t>講師回答同學之提問</w:t>
            </w:r>
          </w:p>
        </w:tc>
      </w:tr>
    </w:tbl>
    <w:p w14:paraId="36D5FC06" w14:textId="2ABE588D" w:rsidR="00185004" w:rsidRDefault="00185004" w:rsidP="00276F3B"/>
    <w:sectPr w:rsidR="0018500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Microsoft JhengHei UI"/>
    <w:charset w:val="88"/>
    <w:family w:val="auto"/>
    <w:pitch w:val="variable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F13BB"/>
    <w:multiLevelType w:val="hybridMultilevel"/>
    <w:tmpl w:val="61BE4CA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0233BC3"/>
    <w:multiLevelType w:val="hybridMultilevel"/>
    <w:tmpl w:val="949A58F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17776D52"/>
    <w:multiLevelType w:val="hybridMultilevel"/>
    <w:tmpl w:val="8B14E330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239011C5"/>
    <w:multiLevelType w:val="hybridMultilevel"/>
    <w:tmpl w:val="E1646DF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24267437"/>
    <w:multiLevelType w:val="hybridMultilevel"/>
    <w:tmpl w:val="4C084710"/>
    <w:lvl w:ilvl="0" w:tplc="B0D6B510">
      <w:start w:val="1"/>
      <w:numFmt w:val="ideographDigital"/>
      <w:lvlText w:val="（%1）"/>
      <w:lvlJc w:val="left"/>
      <w:pPr>
        <w:ind w:left="480" w:hanging="480"/>
      </w:pPr>
      <w:rPr>
        <w:rFonts w:ascii="BiauKai" w:eastAsia="BiauKai" w:hAnsi="BiauKai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BE0681"/>
    <w:multiLevelType w:val="hybridMultilevel"/>
    <w:tmpl w:val="4DF0823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7" w15:restartNumberingAfterBreak="0">
    <w:nsid w:val="2C2C5AE4"/>
    <w:multiLevelType w:val="hybridMultilevel"/>
    <w:tmpl w:val="2B525A3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" w15:restartNumberingAfterBreak="0">
    <w:nsid w:val="2D332CF8"/>
    <w:multiLevelType w:val="multilevel"/>
    <w:tmpl w:val="46628F9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."/>
      <w:lvlJc w:val="left"/>
      <w:pPr>
        <w:ind w:left="1614" w:hanging="48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0364F47"/>
    <w:multiLevelType w:val="hybridMultilevel"/>
    <w:tmpl w:val="3D6493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0127BD"/>
    <w:multiLevelType w:val="hybridMultilevel"/>
    <w:tmpl w:val="49F2460C"/>
    <w:lvl w:ilvl="0" w:tplc="B0D6B510">
      <w:start w:val="1"/>
      <w:numFmt w:val="ideographDigital"/>
      <w:lvlText w:val="（%1）"/>
      <w:lvlJc w:val="left"/>
      <w:pPr>
        <w:ind w:left="480" w:hanging="480"/>
      </w:pPr>
      <w:rPr>
        <w:rFonts w:ascii="BiauKai" w:eastAsia="BiauKai" w:hAnsi="BiauKai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640B8C"/>
    <w:multiLevelType w:val="hybridMultilevel"/>
    <w:tmpl w:val="74348E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8634993"/>
    <w:multiLevelType w:val="hybridMultilevel"/>
    <w:tmpl w:val="BCE8B2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08A1FA0"/>
    <w:multiLevelType w:val="hybridMultilevel"/>
    <w:tmpl w:val="B2EA6646"/>
    <w:lvl w:ilvl="0" w:tplc="B0D6B510">
      <w:start w:val="1"/>
      <w:numFmt w:val="ideographDigital"/>
      <w:lvlText w:val="（%1）"/>
      <w:lvlJc w:val="left"/>
      <w:pPr>
        <w:ind w:left="480" w:hanging="480"/>
      </w:pPr>
      <w:rPr>
        <w:rFonts w:ascii="BiauKai" w:eastAsia="BiauKai" w:hAnsi="BiauKai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DE5019"/>
    <w:multiLevelType w:val="hybridMultilevel"/>
    <w:tmpl w:val="3446B9A2"/>
    <w:lvl w:ilvl="0" w:tplc="B0D6B510">
      <w:start w:val="1"/>
      <w:numFmt w:val="ideographDigital"/>
      <w:lvlText w:val="（%1）"/>
      <w:lvlJc w:val="left"/>
      <w:pPr>
        <w:ind w:left="480" w:hanging="480"/>
      </w:pPr>
      <w:rPr>
        <w:rFonts w:ascii="BiauKai" w:eastAsia="BiauKai" w:hAnsi="BiauKai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A618FF"/>
    <w:multiLevelType w:val="hybridMultilevel"/>
    <w:tmpl w:val="6B9E0194"/>
    <w:lvl w:ilvl="0" w:tplc="B0D6B510">
      <w:start w:val="1"/>
      <w:numFmt w:val="ideographDigital"/>
      <w:lvlText w:val="（%1）"/>
      <w:lvlJc w:val="left"/>
      <w:pPr>
        <w:ind w:left="480" w:hanging="480"/>
      </w:pPr>
      <w:rPr>
        <w:rFonts w:ascii="BiauKai" w:eastAsia="BiauKai" w:hAnsi="BiauKai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10"/>
  </w:num>
  <w:num w:numId="9">
    <w:abstractNumId w:val="15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4"/>
    <w:rsid w:val="000034F4"/>
    <w:rsid w:val="000C43BF"/>
    <w:rsid w:val="00150CA4"/>
    <w:rsid w:val="00185004"/>
    <w:rsid w:val="00234AC9"/>
    <w:rsid w:val="00276F3B"/>
    <w:rsid w:val="002F7C3F"/>
    <w:rsid w:val="003A24FB"/>
    <w:rsid w:val="0043261C"/>
    <w:rsid w:val="004F1479"/>
    <w:rsid w:val="0053302E"/>
    <w:rsid w:val="005F68A3"/>
    <w:rsid w:val="007D498C"/>
    <w:rsid w:val="009D60E7"/>
    <w:rsid w:val="00B803B9"/>
    <w:rsid w:val="00BE7719"/>
    <w:rsid w:val="00C33C5B"/>
    <w:rsid w:val="00C343FB"/>
    <w:rsid w:val="00D3673B"/>
    <w:rsid w:val="00E07F58"/>
    <w:rsid w:val="00ED54A9"/>
    <w:rsid w:val="00F41062"/>
    <w:rsid w:val="00F509B2"/>
    <w:rsid w:val="00F559E0"/>
    <w:rsid w:val="00F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4F24"/>
  <w15:docId w15:val="{85B491AA-FC0D-844F-AF74-2FC23AD4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561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lPKe7aSdLitoLwacLm4uttwzg==">AMUW2mX98emHw82+NGXCWI99fQoZxPcbO3Oex61vBvv6rq99dFOaJR4Qu3ozMcC6m6SltNO90gZlg01HIs47koncoIgT/cQlFySWTaJKxfOwLOScyVyejrgUQQr3jr2F9PrBbKL1+ynJ9iwt7dhg26fnIg5oQqBTCsMnKH4IGvdK1suezxYgQCk/9hspmeQYHxLFy2kU4WVD2kCqOkZ3N5WlY0PVPhU/PH2oGH3SoLdbgaC0beg3icm14iqXGmtF6wOBpNvXjSWe9nIkMu9gbBW3d+0MPIiJ/IbiXKFzfbq1EqpNVmqsWPfimm6vsNw2QlQ/xCiGuIjLcdQ/Jipr6gLkmGcb7s1C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046CAF-15FA-4B4E-BCC2-657E8C3A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柏霏 黃</dc:creator>
  <cp:keywords/>
  <dc:description/>
  <cp:lastModifiedBy>a604457</cp:lastModifiedBy>
  <cp:revision>6</cp:revision>
  <dcterms:created xsi:type="dcterms:W3CDTF">2021-06-17T03:58:00Z</dcterms:created>
  <dcterms:modified xsi:type="dcterms:W3CDTF">2021-06-21T07:37:00Z</dcterms:modified>
</cp:coreProperties>
</file>