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BE6E" w14:textId="005AFC11" w:rsidR="00D11214" w:rsidRPr="001B38FB" w:rsidRDefault="00D11214" w:rsidP="00D11214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t>中國文化大學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A85316">
        <w:rPr>
          <w:rFonts w:ascii="Times New Roman" w:eastAsia="標楷體" w:hAnsi="Times New Roman" w:cs="Times New Roman" w:hint="eastAsia"/>
          <w:b/>
          <w:sz w:val="32"/>
          <w:szCs w:val="32"/>
        </w:rPr>
        <w:t>4-1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高教深耕計畫</w:t>
      </w:r>
    </w:p>
    <w:p w14:paraId="37AB567B" w14:textId="77777777" w:rsidR="00D11214" w:rsidRPr="001B38FB" w:rsidRDefault="00D11214" w:rsidP="00D11214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活動成果紀錄表</w:t>
      </w:r>
    </w:p>
    <w:p w14:paraId="43218254" w14:textId="77777777" w:rsidR="00D11214" w:rsidRDefault="00D11214" w:rsidP="00D11214">
      <w:pPr>
        <w:spacing w:line="0" w:lineRule="atLeast"/>
        <w:ind w:left="360" w:hanging="240"/>
        <w:jc w:val="center"/>
        <w:rPr>
          <w:rFonts w:ascii="Times New Roman" w:eastAsia="標楷體" w:hAnsi="Times New Roman" w:cs="Times New Roman"/>
          <w:b/>
          <w:szCs w:val="24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41"/>
        <w:gridCol w:w="3119"/>
        <w:gridCol w:w="1276"/>
        <w:gridCol w:w="1783"/>
      </w:tblGrid>
      <w:tr w:rsidR="00D11214" w:rsidRPr="001B38FB" w14:paraId="46AE00F0" w14:textId="77777777" w:rsidTr="00DA73A3">
        <w:trPr>
          <w:trHeight w:val="736"/>
          <w:jc w:val="center"/>
        </w:trPr>
        <w:tc>
          <w:tcPr>
            <w:tcW w:w="3964" w:type="dxa"/>
            <w:gridSpan w:val="3"/>
            <w:vAlign w:val="center"/>
          </w:tcPr>
          <w:p w14:paraId="77919B97" w14:textId="77777777" w:rsidR="00D11214" w:rsidRPr="001A4F13" w:rsidRDefault="00D11214" w:rsidP="00DA73A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關鍵能力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資訊科技與人文關懷</w:t>
            </w:r>
          </w:p>
        </w:tc>
        <w:tc>
          <w:tcPr>
            <w:tcW w:w="6178" w:type="dxa"/>
            <w:gridSpan w:val="3"/>
            <w:vAlign w:val="center"/>
          </w:tcPr>
          <w:p w14:paraId="280AF036" w14:textId="77777777" w:rsidR="00D11214" w:rsidRPr="001A4F13" w:rsidRDefault="00D11214" w:rsidP="00DA73A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績效指標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學生資訊科技與人文關懷能力提升及成效</w:t>
            </w:r>
          </w:p>
        </w:tc>
      </w:tr>
      <w:tr w:rsidR="00D11214" w:rsidRPr="001B38FB" w14:paraId="624B6CED" w14:textId="77777777" w:rsidTr="00823B57">
        <w:trPr>
          <w:trHeight w:val="917"/>
          <w:jc w:val="center"/>
        </w:trPr>
        <w:tc>
          <w:tcPr>
            <w:tcW w:w="2405" w:type="dxa"/>
            <w:vAlign w:val="center"/>
          </w:tcPr>
          <w:p w14:paraId="3D1A7873" w14:textId="77777777" w:rsidR="00D11214" w:rsidRDefault="00D11214" w:rsidP="00DA73A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課程</w:t>
            </w:r>
            <w:r w:rsidRPr="001B38FB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  <w:p w14:paraId="1C66CF4E" w14:textId="645E380E" w:rsidR="00D54C13" w:rsidRPr="001B38FB" w:rsidRDefault="00D54C13" w:rsidP="00DA73A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（科目代號）</w:t>
            </w:r>
          </w:p>
        </w:tc>
        <w:tc>
          <w:tcPr>
            <w:tcW w:w="4678" w:type="dxa"/>
            <w:gridSpan w:val="3"/>
            <w:vAlign w:val="center"/>
          </w:tcPr>
          <w:p w14:paraId="4AD0A2C0" w14:textId="77777777" w:rsidR="00D570DB" w:rsidRPr="00823B57" w:rsidRDefault="00D570DB" w:rsidP="00DA73A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3B57">
              <w:rPr>
                <w:rFonts w:ascii="Times New Roman" w:eastAsia="標楷體" w:hAnsi="Times New Roman" w:cs="Times New Roman" w:hint="eastAsia"/>
                <w:szCs w:val="24"/>
              </w:rPr>
              <w:t>社會服務</w:t>
            </w:r>
            <w:r w:rsidRPr="00823B57">
              <w:rPr>
                <w:rFonts w:ascii="Times New Roman" w:eastAsia="標楷體" w:hAnsi="Times New Roman" w:cs="Times New Roman" w:hint="eastAsia"/>
                <w:szCs w:val="24"/>
              </w:rPr>
              <w:t xml:space="preserve"> 2 Y861 </w:t>
            </w:r>
          </w:p>
          <w:p w14:paraId="2F2BAE31" w14:textId="1F639826" w:rsidR="00D11214" w:rsidRPr="001B38FB" w:rsidRDefault="00D570DB" w:rsidP="00DA73A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23B57">
              <w:rPr>
                <w:rFonts w:ascii="Times New Roman" w:eastAsia="標楷體" w:hAnsi="Times New Roman" w:cs="Times New Roman" w:hint="eastAsia"/>
                <w:szCs w:val="24"/>
              </w:rPr>
              <w:t>跨域社會︰</w:t>
            </w:r>
            <w:proofErr w:type="gramEnd"/>
            <w:r w:rsidRPr="00823B57">
              <w:rPr>
                <w:rFonts w:ascii="Times New Roman" w:eastAsia="標楷體" w:hAnsi="Times New Roman" w:cs="Times New Roman" w:hint="eastAsia"/>
                <w:szCs w:val="24"/>
              </w:rPr>
              <w:t>青少年兒童問題與大數據運用</w:t>
            </w:r>
          </w:p>
        </w:tc>
        <w:tc>
          <w:tcPr>
            <w:tcW w:w="1276" w:type="dxa"/>
            <w:vAlign w:val="center"/>
          </w:tcPr>
          <w:p w14:paraId="39C652E3" w14:textId="77777777" w:rsidR="00D11214" w:rsidRPr="001B38FB" w:rsidRDefault="00D11214" w:rsidP="00DA73A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1783" w:type="dxa"/>
            <w:vAlign w:val="center"/>
          </w:tcPr>
          <w:p w14:paraId="08669414" w14:textId="19E386D2" w:rsidR="00D11214" w:rsidRPr="001B38FB" w:rsidRDefault="00D570DB" w:rsidP="00DA73A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2025.11.28</w:t>
            </w:r>
          </w:p>
        </w:tc>
      </w:tr>
      <w:tr w:rsidR="00D54C13" w:rsidRPr="001B38FB" w14:paraId="3C2C3C8A" w14:textId="77777777" w:rsidTr="00823B57">
        <w:trPr>
          <w:trHeight w:val="699"/>
          <w:jc w:val="center"/>
        </w:trPr>
        <w:tc>
          <w:tcPr>
            <w:tcW w:w="2405" w:type="dxa"/>
            <w:vAlign w:val="center"/>
          </w:tcPr>
          <w:p w14:paraId="333403B4" w14:textId="732CEAF9" w:rsidR="00D54C13" w:rsidRPr="001B38FB" w:rsidRDefault="00D54C13" w:rsidP="00DA73A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人文素養指標</w:t>
            </w:r>
          </w:p>
        </w:tc>
        <w:tc>
          <w:tcPr>
            <w:tcW w:w="4678" w:type="dxa"/>
            <w:gridSpan w:val="3"/>
            <w:vAlign w:val="center"/>
          </w:tcPr>
          <w:p w14:paraId="3B6B9D8B" w14:textId="4FBCCACA" w:rsidR="00D54C13" w:rsidRPr="00D54C13" w:rsidRDefault="00D570DB" w:rsidP="00D54C1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■</w:t>
            </w:r>
            <w:r w:rsidR="00521AE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21AE0" w:rsidRPr="00D54C13">
              <w:rPr>
                <w:rFonts w:ascii="Times New Roman" w:eastAsia="標楷體" w:hAnsi="Times New Roman" w:cs="Times New Roman" w:hint="eastAsia"/>
                <w:szCs w:val="24"/>
              </w:rPr>
              <w:t>生命教育</w:t>
            </w:r>
            <w:r w:rsidR="00521AE0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人文與藝術美感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14:paraId="0848BF59" w14:textId="5BC2BA97" w:rsidR="00521AE0" w:rsidRDefault="00D54C13" w:rsidP="00D54C1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生態保育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521AE0" w:rsidRPr="00D54C1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521AE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21AE0" w:rsidRPr="00D54C13">
              <w:rPr>
                <w:rFonts w:ascii="Times New Roman" w:eastAsia="標楷體" w:hAnsi="Times New Roman" w:cs="Times New Roman" w:hint="eastAsia"/>
                <w:szCs w:val="24"/>
              </w:rPr>
              <w:t>醫療與飲食</w:t>
            </w:r>
          </w:p>
          <w:p w14:paraId="6D7ECECE" w14:textId="131DB4BA" w:rsidR="00D54C13" w:rsidRPr="001B38FB" w:rsidRDefault="00D570DB" w:rsidP="00521AE0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■</w:t>
            </w:r>
            <w:r w:rsidR="00521AE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社會弱勢關懷</w:t>
            </w:r>
            <w:r w:rsidR="00521AE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521AE0" w:rsidRPr="00D54C1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521AE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21AE0" w:rsidRPr="00D54C13">
              <w:rPr>
                <w:rFonts w:ascii="Times New Roman" w:eastAsia="標楷體" w:hAnsi="Times New Roman" w:cs="Times New Roman" w:hint="eastAsia"/>
                <w:szCs w:val="24"/>
              </w:rPr>
              <w:t>科技與媒體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14:paraId="34D09A71" w14:textId="7979D747" w:rsidR="00D54C13" w:rsidRPr="001B38FB" w:rsidRDefault="00D54C13" w:rsidP="00DA73A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開課單位</w:t>
            </w: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開課年級</w:t>
            </w:r>
          </w:p>
        </w:tc>
        <w:tc>
          <w:tcPr>
            <w:tcW w:w="1783" w:type="dxa"/>
            <w:vAlign w:val="center"/>
          </w:tcPr>
          <w:p w14:paraId="41C1A037" w14:textId="7CF2B42B" w:rsidR="00D54C13" w:rsidRPr="001B38FB" w:rsidRDefault="00D570DB" w:rsidP="00823B57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3B57">
              <w:rPr>
                <w:rFonts w:ascii="Times New Roman" w:eastAsia="標楷體" w:hAnsi="Times New Roman" w:cs="Times New Roman" w:hint="eastAsia"/>
                <w:szCs w:val="24"/>
              </w:rPr>
              <w:t xml:space="preserve">UXD6 </w:t>
            </w:r>
            <w:r w:rsidRPr="00823B57">
              <w:rPr>
                <w:rFonts w:ascii="Times New Roman" w:eastAsia="標楷體" w:hAnsi="Times New Roman" w:cs="Times New Roman" w:hint="eastAsia"/>
                <w:szCs w:val="24"/>
              </w:rPr>
              <w:t>社會服務</w:t>
            </w:r>
            <w:r w:rsidRPr="00823B57">
              <w:rPr>
                <w:rFonts w:ascii="Times New Roman" w:eastAsia="標楷體" w:hAnsi="Times New Roman" w:cs="Times New Roman" w:hint="eastAsia"/>
                <w:szCs w:val="24"/>
              </w:rPr>
              <w:t xml:space="preserve"> 2</w:t>
            </w:r>
          </w:p>
        </w:tc>
      </w:tr>
      <w:tr w:rsidR="00D11214" w:rsidRPr="001B38FB" w14:paraId="4CF7F2C0" w14:textId="77777777" w:rsidTr="00DA73A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029E99A4" w14:textId="77777777" w:rsidR="00D11214" w:rsidRPr="001B38FB" w:rsidRDefault="00D11214" w:rsidP="00DA73A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學習方式</w:t>
            </w:r>
          </w:p>
        </w:tc>
        <w:tc>
          <w:tcPr>
            <w:tcW w:w="6319" w:type="dxa"/>
            <w:gridSpan w:val="4"/>
          </w:tcPr>
          <w:p w14:paraId="1978DE61" w14:textId="4467D289" w:rsidR="00D11214" w:rsidRPr="00BF6352" w:rsidRDefault="00D570DB" w:rsidP="00D570DB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</w:pPr>
            <w:r w:rsidRPr="00D570D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透過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非營利組織實務工作者以演講方式分享社會議題與社會倡議經驗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並讓學生思考相關問題</w:t>
            </w:r>
          </w:p>
        </w:tc>
      </w:tr>
      <w:tr w:rsidR="00D11214" w:rsidRPr="001B38FB" w14:paraId="7134A8FF" w14:textId="77777777" w:rsidTr="00DA73A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5F28937A" w14:textId="77777777" w:rsidR="00D11214" w:rsidRPr="001B38FB" w:rsidRDefault="00D11214" w:rsidP="00DA73A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課程預定學生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可獲得的核心能力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32AEA675" w14:textId="14000A30" w:rsidR="00D11214" w:rsidRPr="00BF6352" w:rsidRDefault="00D570DB" w:rsidP="00D570DB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</w:pPr>
            <w:r w:rsidRPr="00D570D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培養學生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關心社會議題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瞭解生命價值</w:t>
            </w:r>
          </w:p>
        </w:tc>
      </w:tr>
      <w:tr w:rsidR="00D11214" w:rsidRPr="001B38FB" w14:paraId="6B4AB972" w14:textId="77777777" w:rsidTr="00DA73A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0C443E51" w14:textId="77777777" w:rsidR="00D11214" w:rsidRPr="001B38FB" w:rsidRDefault="00D11214" w:rsidP="00DA73A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學習是否達到預期學習目標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獲得核心能力之相關評估方式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311770AF" w14:textId="1BFE8678" w:rsidR="00D11214" w:rsidRPr="00CA3654" w:rsidRDefault="00D570DB" w:rsidP="00CA3654">
            <w:pPr>
              <w:ind w:leftChars="20" w:left="146" w:hangingChars="41" w:hanging="98"/>
              <w:jc w:val="both"/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</w:pPr>
            <w:r w:rsidRP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運用</w:t>
            </w:r>
            <w:r w:rsidR="00CA3654" w:rsidRP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自編人文關懷問卷，讓學生回答與演講內容相關的選擇題</w:t>
            </w:r>
            <w:r w:rsidR="00CA3654" w:rsidRP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10</w:t>
            </w:r>
            <w:r w:rsidR="00CA3654" w:rsidRP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題，以了解學生學習成果</w:t>
            </w:r>
          </w:p>
        </w:tc>
      </w:tr>
      <w:tr w:rsidR="00D11214" w:rsidRPr="001B38FB" w14:paraId="29091193" w14:textId="77777777" w:rsidTr="00DA73A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2CB93C62" w14:textId="77777777" w:rsidR="00D11214" w:rsidRPr="001B38FB" w:rsidRDefault="00D11214" w:rsidP="00DA73A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本課程學生完成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的學習表現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0998F683" w14:textId="0176F424" w:rsidR="00CA3654" w:rsidRDefault="00D11214" w:rsidP="00CA3654">
            <w:pPr>
              <w:ind w:leftChars="20" w:left="146" w:hangingChars="41" w:hanging="98"/>
              <w:jc w:val="both"/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</w:pPr>
            <w:r w:rsidRP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學生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在</w:t>
            </w:r>
            <w:r w:rsidR="00CA3654" w:rsidRP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自編人文關懷問卷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回答正確率達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8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成以上。</w:t>
            </w:r>
          </w:p>
          <w:p w14:paraId="594E39B7" w14:textId="5D28FD10" w:rsidR="00D11214" w:rsidRPr="00CA3654" w:rsidRDefault="00D11214" w:rsidP="00CA3654">
            <w:pPr>
              <w:ind w:leftChars="20" w:left="146" w:hangingChars="41" w:hanging="98"/>
              <w:jc w:val="both"/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</w:pPr>
            <w:r w:rsidRP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學生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填寫課程滿意度問卷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滿意度達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88%</w:t>
            </w:r>
            <w:r w:rsid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以上。</w:t>
            </w:r>
          </w:p>
        </w:tc>
      </w:tr>
      <w:tr w:rsidR="00D11214" w:rsidRPr="001B38FB" w14:paraId="77D1406C" w14:textId="77777777" w:rsidTr="00DA73A3">
        <w:trPr>
          <w:trHeight w:val="6380"/>
          <w:jc w:val="center"/>
        </w:trPr>
        <w:tc>
          <w:tcPr>
            <w:tcW w:w="10142" w:type="dxa"/>
            <w:gridSpan w:val="6"/>
          </w:tcPr>
          <w:p w14:paraId="5BF4040D" w14:textId="77777777" w:rsidR="00D11214" w:rsidRPr="001B38FB" w:rsidRDefault="00D11214" w:rsidP="00DA73A3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A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2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學習之成果紀錄</w:t>
            </w:r>
            <w:r w:rsidRPr="001B38FB">
              <w:rPr>
                <w:rFonts w:ascii="Times New Roman" w:eastAsia="標楷體" w:hAnsi="Times New Roman" w:cs="Times New Roman"/>
              </w:rPr>
              <w:t>：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(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約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300~600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字內容，簡述舉辦方式及內容、關鍵能力、具體衡量方式關聯性，並包含問卷調查統計結果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)</w:t>
            </w:r>
          </w:p>
          <w:p w14:paraId="0C08863D" w14:textId="59CC7135" w:rsidR="00CA3654" w:rsidRDefault="00CA3654" w:rsidP="00EB3EF1">
            <w:pPr>
              <w:spacing w:line="276" w:lineRule="auto"/>
              <w:ind w:leftChars="20" w:left="305" w:hangingChars="107" w:hanging="257"/>
              <w:jc w:val="both"/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</w:pP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一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、</w:t>
            </w:r>
            <w:r w:rsidRPr="00CA3654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講師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為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社團法人台灣繼續前進原住民教育文化產業協會秘書長陳慧勳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 xml:space="preserve"> (Valis </w:t>
            </w:r>
            <w:proofErr w:type="spellStart"/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ismahasan</w:t>
            </w:r>
            <w:proofErr w:type="spellEnd"/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)</w:t>
            </w:r>
            <w:r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，分享自身布農族背景與專業角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色，以及在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原住民族教育文化協會、行政院兒少權益推動小組、原民會就業促進委員等外部諮詢經驗。</w:t>
            </w:r>
          </w:p>
          <w:p w14:paraId="251AED8B" w14:textId="03569FC2" w:rsidR="00CA3654" w:rsidRDefault="00CA3654" w:rsidP="00EB3EF1">
            <w:pPr>
              <w:spacing w:line="276" w:lineRule="auto"/>
              <w:ind w:leftChars="20" w:left="305" w:hangingChars="107" w:hanging="257"/>
              <w:jc w:val="both"/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</w:pP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、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介紹布農族的農耕祭祀文化，包括豐收祭、嬰兒祭、開墾祭、射耳祭</w:t>
            </w:r>
            <w:r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等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並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說明祭典與月亮盈缺的關聯，</w:t>
            </w:r>
            <w:r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透過神話故事解釋文化起源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增進學生對於布農族文化的認識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。</w:t>
            </w:r>
          </w:p>
          <w:p w14:paraId="6B081D16" w14:textId="651DD12C" w:rsidR="00CA3654" w:rsidRDefault="00CA3654" w:rsidP="00EB3EF1">
            <w:pPr>
              <w:spacing w:line="276" w:lineRule="auto"/>
              <w:ind w:leftChars="20" w:left="305" w:hangingChars="107" w:hanging="257"/>
              <w:jc w:val="both"/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</w:pP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三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、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說明布農族的</w:t>
            </w:r>
            <w:proofErr w:type="spellStart"/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samu</w:t>
            </w:r>
            <w:proofErr w:type="spellEnd"/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 xml:space="preserve"> (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禁忌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)</w:t>
            </w:r>
            <w:r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，涵蓋生活、祭典、狩獵、婚姻等領域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例如</w:t>
            </w:r>
            <w:r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狩獵禁忌，如夢占、鳥占、女性不得觸碰獵具等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讓學生可以瞭解</w:t>
            </w:r>
            <w:r w:rsidRPr="00CA3654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布農族維持社會秩序與倫理的方式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。</w:t>
            </w:r>
          </w:p>
          <w:p w14:paraId="0618FDA1" w14:textId="0755776B" w:rsidR="00EB3EF1" w:rsidRDefault="00CA3654" w:rsidP="00EB3EF1">
            <w:pPr>
              <w:spacing w:line="276" w:lineRule="auto"/>
              <w:ind w:leftChars="20" w:left="305" w:hangingChars="107" w:hanging="257"/>
              <w:jc w:val="both"/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</w:pP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四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、</w:t>
            </w:r>
            <w:r w:rsidR="00EB3EF1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說明</w:t>
            </w:r>
            <w:r w:rsidR="00EB3EF1"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殖民歷史脈絡下的原住民族困境，指出刻板印象與偏見。</w:t>
            </w:r>
            <w:r w:rsidR="00EB3EF1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以</w:t>
            </w:r>
            <w:r w:rsidR="00EB3EF1"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近年社會事件，如金鐘獎服裝爭議、台中一中「烯鐶鈉事件」、台大言論自由月事件等</w:t>
            </w:r>
            <w:r w:rsidR="00EB3EF1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為例，並且</w:t>
            </w:r>
            <w:r w:rsidR="00EB3EF1"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分享自身遭遇歧視的經驗，</w:t>
            </w:r>
            <w:r w:rsidR="00EB3EF1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讓學生</w:t>
            </w:r>
            <w:r w:rsidR="00EB3EF1"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反思社會中無所不在的微歧視</w:t>
            </w:r>
            <w:r w:rsidR="00EB3EF1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。</w:t>
            </w:r>
          </w:p>
          <w:p w14:paraId="3B4C43C9" w14:textId="7D642986" w:rsidR="00CA3654" w:rsidRPr="00EB3EF1" w:rsidRDefault="00EB3EF1" w:rsidP="00EB3EF1">
            <w:pPr>
              <w:spacing w:line="276" w:lineRule="auto"/>
              <w:ind w:leftChars="20" w:left="545" w:hangingChars="207" w:hanging="49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五、介紹</w:t>
            </w:r>
            <w:r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「文化權」與「遊戲權」的國際法基礎，引用《兒童權利公約》第</w:t>
            </w:r>
            <w:r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31</w:t>
            </w:r>
            <w:r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條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也分享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KEEP</w:t>
            </w:r>
            <w:r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GOING</w:t>
            </w:r>
            <w:r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團隊在</w:t>
            </w:r>
            <w:r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都會區推動「族日學」幼兒文化課程，結合語言、文化創作、親子共學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，</w:t>
            </w:r>
            <w:r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在偏鄉推動</w:t>
            </w:r>
            <w:r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 xml:space="preserve"> Sports Care</w:t>
            </w:r>
            <w:r w:rsidRPr="00EB3EF1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  <w:lang w:eastAsia="zh-HK"/>
              </w:rPr>
              <w:t>體育陪伴計畫，以籃球與運動教育提升孩童自信，並支持退役運動員再就業。</w:t>
            </w:r>
          </w:p>
        </w:tc>
      </w:tr>
    </w:tbl>
    <w:p w14:paraId="31A1573C" w14:textId="77777777" w:rsidR="00D11214" w:rsidRPr="001B38FB" w:rsidRDefault="00D11214" w:rsidP="00D11214">
      <w:pPr>
        <w:ind w:leftChars="20" w:left="146" w:hangingChars="41" w:hanging="98"/>
        <w:rPr>
          <w:rFonts w:ascii="Times New Roman" w:eastAsia="標楷體" w:hAnsi="Times New Roman" w:cs="Times New Roman"/>
          <w:szCs w:val="24"/>
        </w:rPr>
      </w:pPr>
      <w:proofErr w:type="gramStart"/>
      <w:r w:rsidRPr="001B38FB">
        <w:rPr>
          <w:rFonts w:ascii="Times New Roman" w:eastAsia="標楷體" w:hAnsi="Times New Roman" w:cs="Times New Roman"/>
          <w:b/>
          <w:szCs w:val="24"/>
        </w:rPr>
        <w:t>＊</w:t>
      </w:r>
      <w:proofErr w:type="gramEnd"/>
      <w:r w:rsidRPr="001B38FB">
        <w:rPr>
          <w:rFonts w:ascii="Times New Roman" w:eastAsia="標楷體" w:hAnsi="Times New Roman" w:cs="Times New Roman"/>
          <w:b/>
          <w:szCs w:val="24"/>
        </w:rPr>
        <w:t>活動照片另附</w:t>
      </w:r>
      <w:r w:rsidRPr="001B38FB">
        <w:rPr>
          <w:rFonts w:ascii="Times New Roman" w:eastAsia="標楷體" w:hAnsi="Times New Roman" w:cs="Times New Roman"/>
          <w:b/>
          <w:szCs w:val="24"/>
        </w:rPr>
        <w:t>4</w:t>
      </w:r>
      <w:r w:rsidRPr="001B38FB">
        <w:rPr>
          <w:rFonts w:ascii="Times New Roman" w:eastAsia="標楷體" w:hAnsi="Times New Roman" w:cs="Times New Roman"/>
          <w:b/>
          <w:szCs w:val="24"/>
        </w:rPr>
        <w:t>～</w:t>
      </w:r>
      <w:r w:rsidRPr="001B38FB">
        <w:rPr>
          <w:rFonts w:ascii="Times New Roman" w:eastAsia="標楷體" w:hAnsi="Times New Roman" w:cs="Times New Roman"/>
          <w:b/>
          <w:szCs w:val="24"/>
        </w:rPr>
        <w:t>8</w:t>
      </w:r>
      <w:r w:rsidRPr="001B38FB">
        <w:rPr>
          <w:rFonts w:ascii="Times New Roman" w:eastAsia="標楷體" w:hAnsi="Times New Roman" w:cs="Times New Roman"/>
          <w:b/>
          <w:szCs w:val="24"/>
        </w:rPr>
        <w:t>張（含圖說）</w:t>
      </w:r>
    </w:p>
    <w:p w14:paraId="159C7722" w14:textId="77777777" w:rsidR="00D11214" w:rsidRPr="001B38FB" w:rsidRDefault="00D11214" w:rsidP="00D11214">
      <w:pPr>
        <w:ind w:leftChars="20" w:left="146" w:hangingChars="41" w:hanging="98"/>
        <w:rPr>
          <w:rFonts w:ascii="Times New Roman" w:eastAsia="標楷體" w:hAnsi="Times New Roman" w:cs="Times New Roman"/>
          <w:szCs w:val="24"/>
        </w:rPr>
      </w:pPr>
      <w:proofErr w:type="gramStart"/>
      <w:r w:rsidRPr="001B38FB">
        <w:rPr>
          <w:rFonts w:ascii="Times New Roman" w:eastAsia="標楷體" w:hAnsi="Times New Roman" w:cs="Times New Roman"/>
          <w:b/>
          <w:szCs w:val="24"/>
        </w:rPr>
        <w:t>＊</w:t>
      </w:r>
      <w:r w:rsidRPr="001B38FB">
        <w:rPr>
          <w:rFonts w:ascii="Times New Roman" w:eastAsia="標楷體" w:hAnsi="Times New Roman" w:cs="Times New Roman" w:hint="eastAsia"/>
          <w:b/>
          <w:szCs w:val="24"/>
        </w:rPr>
        <w:t>簽到表另附</w:t>
      </w:r>
      <w:proofErr w:type="gramEnd"/>
    </w:p>
    <w:p w14:paraId="2E932121" w14:textId="77777777" w:rsidR="00D11214" w:rsidRPr="001B38FB" w:rsidRDefault="00D11214" w:rsidP="00D11214">
      <w:pPr>
        <w:widowControl/>
        <w:rPr>
          <w:rFonts w:ascii="Times New Roman" w:eastAsia="標楷體" w:hAnsi="Times New Roman" w:cs="Times New Roman"/>
          <w:szCs w:val="24"/>
        </w:rPr>
      </w:pPr>
      <w:r w:rsidRPr="001B38FB">
        <w:rPr>
          <w:rFonts w:ascii="Times New Roman" w:eastAsia="標楷體" w:hAnsi="Times New Roman" w:cs="Times New Roman"/>
          <w:szCs w:val="24"/>
        </w:rPr>
        <w:br w:type="page"/>
      </w:r>
    </w:p>
    <w:p w14:paraId="5D6AB74B" w14:textId="77777777" w:rsidR="00D11214" w:rsidRPr="001B38FB" w:rsidRDefault="00D11214" w:rsidP="00D11214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活動照片及說明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10"/>
        <w:gridCol w:w="4594"/>
      </w:tblGrid>
      <w:tr w:rsidR="00D11214" w:rsidRPr="001B38FB" w14:paraId="0923784C" w14:textId="77777777" w:rsidTr="00DA73A3">
        <w:trPr>
          <w:trHeight w:val="3292"/>
          <w:jc w:val="center"/>
        </w:trPr>
        <w:tc>
          <w:tcPr>
            <w:tcW w:w="4610" w:type="dxa"/>
            <w:vAlign w:val="center"/>
          </w:tcPr>
          <w:p w14:paraId="62069CF3" w14:textId="2A605222" w:rsidR="00D11214" w:rsidRPr="00551E6A" w:rsidRDefault="001C01FD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C01FD">
              <w:rPr>
                <w:rFonts w:ascii="Times New Roman" w:hAnsi="Times New Roman" w:cs="Times New Roman"/>
                <w:noProof/>
                <w:color w:val="BFBFBF" w:themeColor="background1" w:themeShade="BF"/>
              </w:rPr>
              <w:drawing>
                <wp:inline distT="0" distB="0" distL="0" distR="0" wp14:anchorId="4C3B9C32" wp14:editId="5B0F0910">
                  <wp:extent cx="2692400" cy="2020162"/>
                  <wp:effectExtent l="0" t="0" r="0" b="0"/>
                  <wp:docPr id="7" name="圖片 7" descr="H:\T課程暫存\講座、工作坊\20251128-深耕講座-陳慧勳\20251128講座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T課程暫存\講座、工作坊\20251128-深耕講座-陳慧勳\20251128講座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001" cy="202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32BFF4EA" w14:textId="1998849C" w:rsidR="00D11214" w:rsidRPr="00551E6A" w:rsidRDefault="001C01FD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C01FD">
              <w:rPr>
                <w:rFonts w:ascii="Times New Roman" w:hAnsi="Times New Roman" w:cs="Times New Roman"/>
                <w:noProof/>
                <w:color w:val="BFBFBF" w:themeColor="background1" w:themeShade="BF"/>
              </w:rPr>
              <w:drawing>
                <wp:inline distT="0" distB="0" distL="0" distR="0" wp14:anchorId="0B241F3B" wp14:editId="03CEC3A6">
                  <wp:extent cx="2637014" cy="1979026"/>
                  <wp:effectExtent l="0" t="0" r="0" b="2540"/>
                  <wp:docPr id="2" name="圖片 2" descr="H:\T課程暫存\講座、工作坊\20251128-深耕講座-陳慧勳\20251128講座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T課程暫存\講座、工作坊\20251128-深耕講座-陳慧勳\20251128講座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719" cy="200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214" w:rsidRPr="001B38FB" w14:paraId="539940CE" w14:textId="77777777" w:rsidTr="00DA73A3">
        <w:trPr>
          <w:jc w:val="center"/>
        </w:trPr>
        <w:tc>
          <w:tcPr>
            <w:tcW w:w="4610" w:type="dxa"/>
            <w:vAlign w:val="center"/>
          </w:tcPr>
          <w:p w14:paraId="30CAB36F" w14:textId="2C68B714" w:rsidR="00D11214" w:rsidRPr="00827C02" w:rsidRDefault="001C01FD" w:rsidP="00DA73A3">
            <w:pPr>
              <w:jc w:val="center"/>
              <w:rPr>
                <w:rFonts w:ascii="Times New Roman" w:hAnsi="Times New Roman" w:cs="Times New Roman"/>
              </w:rPr>
            </w:pPr>
            <w:r w:rsidRPr="001C01FD">
              <w:rPr>
                <w:rFonts w:ascii="Times New Roman" w:hAnsi="Times New Roman" w:cs="Times New Roman" w:hint="eastAsia"/>
                <w:lang w:eastAsia="zh-HK"/>
              </w:rPr>
              <w:t>授課老師開場</w:t>
            </w:r>
          </w:p>
        </w:tc>
        <w:tc>
          <w:tcPr>
            <w:tcW w:w="4594" w:type="dxa"/>
            <w:vAlign w:val="center"/>
          </w:tcPr>
          <w:p w14:paraId="6B526929" w14:textId="464A07D4" w:rsidR="00D11214" w:rsidRPr="00827C02" w:rsidRDefault="001C01FD" w:rsidP="00DA7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微歧視案例介紹</w:t>
            </w:r>
          </w:p>
        </w:tc>
      </w:tr>
      <w:tr w:rsidR="00D11214" w:rsidRPr="001B38FB" w14:paraId="4DF9C6D6" w14:textId="77777777" w:rsidTr="00DA73A3">
        <w:trPr>
          <w:trHeight w:val="3160"/>
          <w:jc w:val="center"/>
        </w:trPr>
        <w:tc>
          <w:tcPr>
            <w:tcW w:w="4610" w:type="dxa"/>
            <w:vAlign w:val="center"/>
          </w:tcPr>
          <w:p w14:paraId="395802DE" w14:textId="109DE679" w:rsidR="00D11214" w:rsidRPr="00551E6A" w:rsidRDefault="001C01FD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C01FD">
              <w:rPr>
                <w:rFonts w:ascii="Times New Roman" w:hAnsi="Times New Roman" w:cs="Times New Roman"/>
                <w:noProof/>
                <w:color w:val="BFBFBF" w:themeColor="background1" w:themeShade="BF"/>
              </w:rPr>
              <w:drawing>
                <wp:inline distT="0" distB="0" distL="0" distR="0" wp14:anchorId="21ABE388" wp14:editId="7EAD0F24">
                  <wp:extent cx="2749907" cy="2063750"/>
                  <wp:effectExtent l="0" t="0" r="0" b="0"/>
                  <wp:docPr id="3" name="圖片 3" descr="H:\T課程暫存\講座、工作坊\20251128-深耕講座-陳慧勳\20251128講座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T課程暫存\講座、工作坊\20251128-深耕講座-陳慧勳\20251128講座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567" cy="207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0072C4EF" w14:textId="1D421FBE" w:rsidR="00D11214" w:rsidRPr="00551E6A" w:rsidRDefault="001C01FD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C01FD">
              <w:rPr>
                <w:rFonts w:ascii="Times New Roman" w:hAnsi="Times New Roman" w:cs="Times New Roman"/>
                <w:noProof/>
                <w:color w:val="BFBFBF" w:themeColor="background1" w:themeShade="BF"/>
              </w:rPr>
              <w:drawing>
                <wp:inline distT="0" distB="0" distL="0" distR="0" wp14:anchorId="131D3711" wp14:editId="7E2F4082">
                  <wp:extent cx="2767418" cy="2076450"/>
                  <wp:effectExtent l="0" t="0" r="0" b="0"/>
                  <wp:docPr id="5" name="圖片 5" descr="H:\T課程暫存\講座、工作坊\20251128-深耕講座-陳慧勳\20251128講座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T課程暫存\講座、工作坊\20251128-深耕講座-陳慧勳\20251128講座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752" cy="207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214" w:rsidRPr="001B38FB" w14:paraId="790D90A7" w14:textId="77777777" w:rsidTr="00DA73A3">
        <w:trPr>
          <w:jc w:val="center"/>
        </w:trPr>
        <w:tc>
          <w:tcPr>
            <w:tcW w:w="4610" w:type="dxa"/>
            <w:vAlign w:val="center"/>
          </w:tcPr>
          <w:p w14:paraId="024DDA8F" w14:textId="3973CA44" w:rsidR="00D11214" w:rsidRPr="00551E6A" w:rsidRDefault="001C01FD" w:rsidP="001C01F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分享社會歧視經驗</w:t>
            </w:r>
          </w:p>
        </w:tc>
        <w:tc>
          <w:tcPr>
            <w:tcW w:w="4594" w:type="dxa"/>
            <w:vAlign w:val="center"/>
          </w:tcPr>
          <w:p w14:paraId="7FC66494" w14:textId="7748C4C4" w:rsidR="00D11214" w:rsidRPr="001C01FD" w:rsidRDefault="001C01FD" w:rsidP="00DA73A3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C01FD">
              <w:rPr>
                <w:rFonts w:ascii="Times New Roman" w:hAnsi="Times New Roman" w:cs="Times New Roman" w:hint="eastAsia"/>
                <w:lang w:eastAsia="zh-HK"/>
              </w:rPr>
              <w:t>介紹布農族文化背景</w:t>
            </w:r>
          </w:p>
        </w:tc>
      </w:tr>
      <w:tr w:rsidR="00D11214" w:rsidRPr="001B38FB" w14:paraId="4543C97E" w14:textId="77777777" w:rsidTr="00DA73A3">
        <w:trPr>
          <w:trHeight w:val="2946"/>
          <w:jc w:val="center"/>
        </w:trPr>
        <w:tc>
          <w:tcPr>
            <w:tcW w:w="4610" w:type="dxa"/>
            <w:vAlign w:val="center"/>
          </w:tcPr>
          <w:p w14:paraId="1873566C" w14:textId="306FBDD3" w:rsidR="00D11214" w:rsidRPr="00551E6A" w:rsidRDefault="001C01FD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C01FD">
              <w:rPr>
                <w:rFonts w:ascii="Times New Roman" w:hAnsi="Times New Roman" w:cs="Times New Roman"/>
                <w:noProof/>
                <w:color w:val="BFBFBF" w:themeColor="background1" w:themeShade="BF"/>
              </w:rPr>
              <w:drawing>
                <wp:inline distT="0" distB="0" distL="0" distR="0" wp14:anchorId="186F659E" wp14:editId="65016991">
                  <wp:extent cx="2628900" cy="1972516"/>
                  <wp:effectExtent l="0" t="0" r="0" b="8890"/>
                  <wp:docPr id="6" name="圖片 6" descr="H:\T課程暫存\講座、工作坊\20251128-深耕講座-陳慧勳\20251128講座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T課程暫存\講座、工作坊\20251128-深耕講座-陳慧勳\20251128講座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762" cy="198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1BC73B89" w14:textId="7E0B44EF" w:rsidR="00D11214" w:rsidRPr="00551E6A" w:rsidRDefault="00D11214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D11214" w:rsidRPr="001B38FB" w14:paraId="32BC6B63" w14:textId="77777777" w:rsidTr="00DA73A3">
        <w:trPr>
          <w:jc w:val="center"/>
        </w:trPr>
        <w:tc>
          <w:tcPr>
            <w:tcW w:w="4610" w:type="dxa"/>
            <w:vAlign w:val="center"/>
          </w:tcPr>
          <w:p w14:paraId="5495AEA1" w14:textId="666E2C41" w:rsidR="00D11214" w:rsidRPr="001C01FD" w:rsidRDefault="001C01FD" w:rsidP="00DA73A3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1C01FD">
              <w:rPr>
                <w:rFonts w:ascii="Times New Roman" w:hAnsi="Times New Roman" w:cs="Times New Roman" w:hint="eastAsia"/>
                <w:lang w:eastAsia="zh-HK"/>
              </w:rPr>
              <w:t>講師介紹機構服務經驗</w:t>
            </w:r>
          </w:p>
        </w:tc>
        <w:tc>
          <w:tcPr>
            <w:tcW w:w="4594" w:type="dxa"/>
            <w:vAlign w:val="center"/>
          </w:tcPr>
          <w:p w14:paraId="0D5937C0" w14:textId="0E296F25" w:rsidR="00D11214" w:rsidRPr="001C01FD" w:rsidRDefault="00D11214" w:rsidP="00DA73A3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D11214" w:rsidRPr="001B38FB" w14:paraId="0D49D8D0" w14:textId="77777777" w:rsidTr="004846C6">
        <w:trPr>
          <w:trHeight w:val="2321"/>
          <w:jc w:val="center"/>
        </w:trPr>
        <w:tc>
          <w:tcPr>
            <w:tcW w:w="4610" w:type="dxa"/>
            <w:vAlign w:val="center"/>
          </w:tcPr>
          <w:p w14:paraId="01707602" w14:textId="77777777" w:rsidR="00D11214" w:rsidRPr="00551E6A" w:rsidRDefault="00D11214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(</w:t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照片</w:t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)</w:t>
            </w:r>
          </w:p>
        </w:tc>
        <w:tc>
          <w:tcPr>
            <w:tcW w:w="4594" w:type="dxa"/>
            <w:vAlign w:val="center"/>
          </w:tcPr>
          <w:p w14:paraId="526BD150" w14:textId="77777777" w:rsidR="00D11214" w:rsidRPr="00551E6A" w:rsidRDefault="00D11214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(</w:t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照片</w:t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)</w:t>
            </w:r>
          </w:p>
        </w:tc>
      </w:tr>
      <w:tr w:rsidR="00D11214" w:rsidRPr="001B38FB" w14:paraId="055038F6" w14:textId="77777777" w:rsidTr="00DA73A3">
        <w:trPr>
          <w:jc w:val="center"/>
        </w:trPr>
        <w:tc>
          <w:tcPr>
            <w:tcW w:w="4610" w:type="dxa"/>
            <w:vAlign w:val="center"/>
          </w:tcPr>
          <w:p w14:paraId="650F4DF8" w14:textId="77777777" w:rsidR="00D11214" w:rsidRPr="00551E6A" w:rsidRDefault="00D11214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(</w:t>
            </w:r>
            <w:r>
              <w:rPr>
                <w:rFonts w:ascii="Times New Roman" w:hAnsi="Times New Roman" w:cs="Times New Roman" w:hint="eastAsia"/>
                <w:color w:val="BFBFBF" w:themeColor="background1" w:themeShade="BF"/>
              </w:rPr>
              <w:t>內容</w:t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簡述</w:t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)</w:t>
            </w:r>
          </w:p>
        </w:tc>
        <w:tc>
          <w:tcPr>
            <w:tcW w:w="4594" w:type="dxa"/>
            <w:vAlign w:val="center"/>
          </w:tcPr>
          <w:p w14:paraId="172F1BF5" w14:textId="77777777" w:rsidR="00D11214" w:rsidRPr="00551E6A" w:rsidRDefault="00D11214" w:rsidP="00DA73A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(</w:t>
            </w:r>
            <w:r>
              <w:rPr>
                <w:rFonts w:ascii="Times New Roman" w:hAnsi="Times New Roman" w:cs="Times New Roman" w:hint="eastAsia"/>
                <w:color w:val="BFBFBF" w:themeColor="background1" w:themeShade="BF"/>
              </w:rPr>
              <w:t>內容</w:t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簡述</w:t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>)</w:t>
            </w:r>
          </w:p>
        </w:tc>
      </w:tr>
    </w:tbl>
    <w:p w14:paraId="6C8574B9" w14:textId="77777777" w:rsidR="004846C6" w:rsidRDefault="004846C6" w:rsidP="004846C6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91DB5AC" w14:textId="1C282D9A" w:rsidR="004846C6" w:rsidRDefault="004846C6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4846C6" w:rsidSect="0059645A">
      <w:pgSz w:w="11906" w:h="16838"/>
      <w:pgMar w:top="568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8D16" w14:textId="77777777" w:rsidR="00555AC5" w:rsidRDefault="00555AC5" w:rsidP="009C7013">
      <w:r>
        <w:separator/>
      </w:r>
    </w:p>
  </w:endnote>
  <w:endnote w:type="continuationSeparator" w:id="0">
    <w:p w14:paraId="6A262237" w14:textId="77777777" w:rsidR="00555AC5" w:rsidRDefault="00555AC5" w:rsidP="009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E712" w14:textId="77777777" w:rsidR="00555AC5" w:rsidRDefault="00555AC5" w:rsidP="009C7013">
      <w:r>
        <w:separator/>
      </w:r>
    </w:p>
  </w:footnote>
  <w:footnote w:type="continuationSeparator" w:id="0">
    <w:p w14:paraId="39E35BCE" w14:textId="77777777" w:rsidR="00555AC5" w:rsidRDefault="00555AC5" w:rsidP="009C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3BA"/>
    <w:multiLevelType w:val="hybridMultilevel"/>
    <w:tmpl w:val="FDCAC66A"/>
    <w:lvl w:ilvl="0" w:tplc="4C862FB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 w:val="0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C7465"/>
    <w:multiLevelType w:val="hybridMultilevel"/>
    <w:tmpl w:val="48764322"/>
    <w:lvl w:ilvl="0" w:tplc="961A0E70">
      <w:start w:val="1"/>
      <w:numFmt w:val="lowerLetter"/>
      <w:lvlText w:val="%1"/>
      <w:lvlJc w:val="left"/>
      <w:pPr>
        <w:ind w:left="192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9767B2B"/>
    <w:multiLevelType w:val="hybridMultilevel"/>
    <w:tmpl w:val="00609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46423"/>
    <w:multiLevelType w:val="hybridMultilevel"/>
    <w:tmpl w:val="A01E20FE"/>
    <w:lvl w:ilvl="0" w:tplc="961A0E70">
      <w:start w:val="1"/>
      <w:numFmt w:val="lowerLetter"/>
      <w:lvlText w:val="%1"/>
      <w:lvlJc w:val="left"/>
      <w:pPr>
        <w:ind w:left="192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22A260A5"/>
    <w:multiLevelType w:val="hybridMultilevel"/>
    <w:tmpl w:val="1D50F464"/>
    <w:lvl w:ilvl="0" w:tplc="85C8BEE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58815A4"/>
    <w:multiLevelType w:val="hybridMultilevel"/>
    <w:tmpl w:val="1ECCCF20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7A5115F"/>
    <w:multiLevelType w:val="hybridMultilevel"/>
    <w:tmpl w:val="3DF89D1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8513BBB"/>
    <w:multiLevelType w:val="hybridMultilevel"/>
    <w:tmpl w:val="6C767566"/>
    <w:lvl w:ilvl="0" w:tplc="52B8D8D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DD07BF"/>
    <w:multiLevelType w:val="hybridMultilevel"/>
    <w:tmpl w:val="E9F272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D9D65ED"/>
    <w:multiLevelType w:val="hybridMultilevel"/>
    <w:tmpl w:val="5994E6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5B3C91"/>
    <w:multiLevelType w:val="hybridMultilevel"/>
    <w:tmpl w:val="1ECCCF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138403979">
    <w:abstractNumId w:val="2"/>
  </w:num>
  <w:num w:numId="2" w16cid:durableId="1142889547">
    <w:abstractNumId w:val="9"/>
  </w:num>
  <w:num w:numId="3" w16cid:durableId="475296885">
    <w:abstractNumId w:val="4"/>
  </w:num>
  <w:num w:numId="4" w16cid:durableId="1465922403">
    <w:abstractNumId w:val="7"/>
  </w:num>
  <w:num w:numId="5" w16cid:durableId="1043988861">
    <w:abstractNumId w:val="0"/>
  </w:num>
  <w:num w:numId="6" w16cid:durableId="510338993">
    <w:abstractNumId w:val="8"/>
  </w:num>
  <w:num w:numId="7" w16cid:durableId="1452896917">
    <w:abstractNumId w:val="6"/>
  </w:num>
  <w:num w:numId="8" w16cid:durableId="1196818556">
    <w:abstractNumId w:val="10"/>
  </w:num>
  <w:num w:numId="9" w16cid:durableId="2001611977">
    <w:abstractNumId w:val="3"/>
  </w:num>
  <w:num w:numId="10" w16cid:durableId="2097431660">
    <w:abstractNumId w:val="1"/>
  </w:num>
  <w:num w:numId="11" w16cid:durableId="130450296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4F"/>
    <w:rsid w:val="00014E02"/>
    <w:rsid w:val="00075C98"/>
    <w:rsid w:val="00081434"/>
    <w:rsid w:val="0008377B"/>
    <w:rsid w:val="00087A9F"/>
    <w:rsid w:val="000951E8"/>
    <w:rsid w:val="000A5114"/>
    <w:rsid w:val="000C25DA"/>
    <w:rsid w:val="000D10D8"/>
    <w:rsid w:val="000D1D4D"/>
    <w:rsid w:val="000E192B"/>
    <w:rsid w:val="001000E0"/>
    <w:rsid w:val="00100A9D"/>
    <w:rsid w:val="00113623"/>
    <w:rsid w:val="00124C52"/>
    <w:rsid w:val="00141B48"/>
    <w:rsid w:val="00153756"/>
    <w:rsid w:val="001645A8"/>
    <w:rsid w:val="00167A64"/>
    <w:rsid w:val="0018297F"/>
    <w:rsid w:val="001C01FD"/>
    <w:rsid w:val="001C3B58"/>
    <w:rsid w:val="001D11AE"/>
    <w:rsid w:val="001D75FB"/>
    <w:rsid w:val="001F3436"/>
    <w:rsid w:val="0020364A"/>
    <w:rsid w:val="00253732"/>
    <w:rsid w:val="0026241C"/>
    <w:rsid w:val="00266A98"/>
    <w:rsid w:val="00267970"/>
    <w:rsid w:val="002C4917"/>
    <w:rsid w:val="002F7517"/>
    <w:rsid w:val="00310354"/>
    <w:rsid w:val="00323F24"/>
    <w:rsid w:val="0033390B"/>
    <w:rsid w:val="00354CEF"/>
    <w:rsid w:val="003556B1"/>
    <w:rsid w:val="003648EC"/>
    <w:rsid w:val="003721CF"/>
    <w:rsid w:val="00374AA5"/>
    <w:rsid w:val="0038355B"/>
    <w:rsid w:val="003836D7"/>
    <w:rsid w:val="00385FA5"/>
    <w:rsid w:val="00392100"/>
    <w:rsid w:val="003C2C14"/>
    <w:rsid w:val="00405C0F"/>
    <w:rsid w:val="004204FC"/>
    <w:rsid w:val="00447E57"/>
    <w:rsid w:val="004534A2"/>
    <w:rsid w:val="00453A6C"/>
    <w:rsid w:val="00462EFE"/>
    <w:rsid w:val="0047468F"/>
    <w:rsid w:val="0048114E"/>
    <w:rsid w:val="004846C6"/>
    <w:rsid w:val="004850EF"/>
    <w:rsid w:val="004C2257"/>
    <w:rsid w:val="00513718"/>
    <w:rsid w:val="00513C50"/>
    <w:rsid w:val="00521AE0"/>
    <w:rsid w:val="005242B7"/>
    <w:rsid w:val="0054440A"/>
    <w:rsid w:val="00555AC5"/>
    <w:rsid w:val="005723C9"/>
    <w:rsid w:val="00572413"/>
    <w:rsid w:val="0057384F"/>
    <w:rsid w:val="00583B24"/>
    <w:rsid w:val="0059645A"/>
    <w:rsid w:val="00596D4B"/>
    <w:rsid w:val="005C2480"/>
    <w:rsid w:val="005E59DC"/>
    <w:rsid w:val="006043F1"/>
    <w:rsid w:val="00624E00"/>
    <w:rsid w:val="00632F7A"/>
    <w:rsid w:val="00652A60"/>
    <w:rsid w:val="00683F06"/>
    <w:rsid w:val="00683F71"/>
    <w:rsid w:val="006C2FC3"/>
    <w:rsid w:val="00715543"/>
    <w:rsid w:val="007715B3"/>
    <w:rsid w:val="007A5320"/>
    <w:rsid w:val="007A546C"/>
    <w:rsid w:val="007A68F8"/>
    <w:rsid w:val="007A6B48"/>
    <w:rsid w:val="007C2FDC"/>
    <w:rsid w:val="007F5DA4"/>
    <w:rsid w:val="00803DA1"/>
    <w:rsid w:val="00807B80"/>
    <w:rsid w:val="00817A14"/>
    <w:rsid w:val="00823B57"/>
    <w:rsid w:val="00827C02"/>
    <w:rsid w:val="00836542"/>
    <w:rsid w:val="008459AF"/>
    <w:rsid w:val="00854CC6"/>
    <w:rsid w:val="00885AAC"/>
    <w:rsid w:val="00886183"/>
    <w:rsid w:val="0089296D"/>
    <w:rsid w:val="008A6535"/>
    <w:rsid w:val="0090147A"/>
    <w:rsid w:val="00907F2C"/>
    <w:rsid w:val="00915277"/>
    <w:rsid w:val="009177FA"/>
    <w:rsid w:val="00956A8E"/>
    <w:rsid w:val="00964586"/>
    <w:rsid w:val="009716EA"/>
    <w:rsid w:val="009B2276"/>
    <w:rsid w:val="009B34D9"/>
    <w:rsid w:val="009C7013"/>
    <w:rsid w:val="009D1036"/>
    <w:rsid w:val="00A034C2"/>
    <w:rsid w:val="00A26655"/>
    <w:rsid w:val="00A532B3"/>
    <w:rsid w:val="00A61A73"/>
    <w:rsid w:val="00A729D2"/>
    <w:rsid w:val="00A85316"/>
    <w:rsid w:val="00AA7902"/>
    <w:rsid w:val="00AE057D"/>
    <w:rsid w:val="00B41F23"/>
    <w:rsid w:val="00B77E7E"/>
    <w:rsid w:val="00C01A9F"/>
    <w:rsid w:val="00C01E8B"/>
    <w:rsid w:val="00C24031"/>
    <w:rsid w:val="00C338CF"/>
    <w:rsid w:val="00C6428B"/>
    <w:rsid w:val="00C9771F"/>
    <w:rsid w:val="00CA3654"/>
    <w:rsid w:val="00CB0D5E"/>
    <w:rsid w:val="00CD0739"/>
    <w:rsid w:val="00CE7663"/>
    <w:rsid w:val="00D11214"/>
    <w:rsid w:val="00D3088F"/>
    <w:rsid w:val="00D31906"/>
    <w:rsid w:val="00D54C13"/>
    <w:rsid w:val="00D570DB"/>
    <w:rsid w:val="00D72500"/>
    <w:rsid w:val="00DA359E"/>
    <w:rsid w:val="00DA73A3"/>
    <w:rsid w:val="00DB66DB"/>
    <w:rsid w:val="00E2751C"/>
    <w:rsid w:val="00E372FE"/>
    <w:rsid w:val="00E45FD9"/>
    <w:rsid w:val="00E60CFB"/>
    <w:rsid w:val="00E661E4"/>
    <w:rsid w:val="00E66F77"/>
    <w:rsid w:val="00E81326"/>
    <w:rsid w:val="00EB3EF1"/>
    <w:rsid w:val="00EB7C03"/>
    <w:rsid w:val="00ED7325"/>
    <w:rsid w:val="00EE4D77"/>
    <w:rsid w:val="00EF4B80"/>
    <w:rsid w:val="00F009C0"/>
    <w:rsid w:val="00F1659D"/>
    <w:rsid w:val="00F8019C"/>
    <w:rsid w:val="00FA389E"/>
    <w:rsid w:val="00F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41079"/>
  <w15:chartTrackingRefBased/>
  <w15:docId w15:val="{D2431C00-EDC3-4847-A79E-2694E1A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0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013"/>
    <w:rPr>
      <w:sz w:val="20"/>
      <w:szCs w:val="20"/>
    </w:rPr>
  </w:style>
  <w:style w:type="paragraph" w:styleId="a7">
    <w:name w:val="List Paragraph"/>
    <w:aliases w:val="卑南壹,標1,項目二"/>
    <w:basedOn w:val="a"/>
    <w:link w:val="a8"/>
    <w:uiPriority w:val="34"/>
    <w:qFormat/>
    <w:rsid w:val="009C7013"/>
    <w:pPr>
      <w:ind w:leftChars="200" w:left="480"/>
    </w:pPr>
  </w:style>
  <w:style w:type="character" w:customStyle="1" w:styleId="a8">
    <w:name w:val="清單段落 字元"/>
    <w:aliases w:val="卑南壹 字元,標1 字元,項目二 字元"/>
    <w:link w:val="a7"/>
    <w:uiPriority w:val="34"/>
    <w:rsid w:val="009C7013"/>
  </w:style>
  <w:style w:type="table" w:styleId="a9">
    <w:name w:val="Table Grid"/>
    <w:basedOn w:val="a1"/>
    <w:uiPriority w:val="39"/>
    <w:rsid w:val="00A6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6D4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96D4B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E2751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A5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A53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65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連啓元</dc:creator>
  <cp:keywords/>
  <dc:description/>
  <cp:lastModifiedBy>new_acct</cp:lastModifiedBy>
  <cp:revision>2</cp:revision>
  <cp:lastPrinted>2025-11-28T01:02:00Z</cp:lastPrinted>
  <dcterms:created xsi:type="dcterms:W3CDTF">2026-01-14T01:36:00Z</dcterms:created>
  <dcterms:modified xsi:type="dcterms:W3CDTF">2026-01-14T01:36:00Z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136004f3-db41-4ee4-bb87-68a7d37174e0</vt:lpwstr>
  </property>
</Properties>
</file>