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D79F8" w14:textId="77777777" w:rsidR="008F0BE9" w:rsidRPr="008F0BE9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1</w:t>
      </w:r>
      <w:r w:rsidR="007C61EE">
        <w:rPr>
          <w:rFonts w:ascii="Times New Roman" w:eastAsia="標楷體" w:hAnsi="標楷體" w:hint="eastAsia"/>
          <w:b/>
          <w:sz w:val="40"/>
          <w:szCs w:val="40"/>
        </w:rPr>
        <w:t>1</w:t>
      </w:r>
      <w:r w:rsidR="00211F0D">
        <w:rPr>
          <w:rFonts w:ascii="Times New Roman" w:eastAsia="標楷體" w:hAnsi="標楷體" w:hint="eastAsia"/>
          <w:b/>
          <w:sz w:val="40"/>
          <w:szCs w:val="40"/>
        </w:rPr>
        <w:t>3</w:t>
      </w:r>
      <w:r w:rsidR="007C61EE">
        <w:rPr>
          <w:rFonts w:ascii="Times New Roman" w:eastAsia="標楷體" w:hAnsi="標楷體" w:hint="eastAsia"/>
          <w:b/>
          <w:sz w:val="40"/>
          <w:szCs w:val="40"/>
        </w:rPr>
        <w:t>學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年度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微學分課程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 xml:space="preserve"> 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6277"/>
        <w:gridCol w:w="2347"/>
      </w:tblGrid>
      <w:tr w:rsidR="005154D4" w:rsidRPr="001C1E24" w14:paraId="7CA44F80" w14:textId="77777777" w:rsidTr="00CD22E4">
        <w:trPr>
          <w:trHeight w:val="480"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5CE9E0" w14:textId="77777777" w:rsidR="005154D4" w:rsidRDefault="008F0BE9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862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984F47D" w14:textId="77777777" w:rsidR="005154D4" w:rsidRPr="00A97F70" w:rsidRDefault="00C755BC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文學院</w:t>
            </w:r>
          </w:p>
        </w:tc>
      </w:tr>
      <w:tr w:rsidR="005154D4" w:rsidRPr="001C1E24" w14:paraId="156845F2" w14:textId="77777777" w:rsidTr="00CD22E4">
        <w:trPr>
          <w:trHeight w:val="408"/>
          <w:jc w:val="center"/>
        </w:trPr>
        <w:tc>
          <w:tcPr>
            <w:tcW w:w="1536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468AD783" w14:textId="77777777" w:rsidR="005154D4" w:rsidRPr="00CD6B06" w:rsidRDefault="008F0BE9" w:rsidP="008F0BE9">
            <w:pPr>
              <w:ind w:left="360" w:hanging="24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8624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77A99B9" w14:textId="77777777" w:rsidR="005154D4" w:rsidRPr="00C755BC" w:rsidRDefault="00C755BC" w:rsidP="00C755BC">
            <w:pPr>
              <w:snapToGrid w:val="0"/>
              <w:ind w:left="714" w:hangingChars="297" w:hanging="594"/>
              <w:jc w:val="both"/>
              <w:rPr>
                <w:rFonts w:ascii="Times New Roman" w:eastAsia="標楷體" w:hAnsi="Times New Roman"/>
                <w:szCs w:val="24"/>
              </w:rPr>
            </w:pPr>
            <w:r w:rsidRPr="00C755BC">
              <w:rPr>
                <w:rFonts w:eastAsia="標楷體" w:hint="eastAsia"/>
                <w:color w:val="000000"/>
                <w:spacing w:val="-20"/>
                <w:szCs w:val="24"/>
              </w:rPr>
              <w:t>A2-2</w:t>
            </w:r>
            <w:r w:rsidRPr="00C755BC">
              <w:rPr>
                <w:rFonts w:eastAsia="標楷體" w:hint="eastAsia"/>
                <w:color w:val="000000"/>
                <w:spacing w:val="-20"/>
                <w:szCs w:val="24"/>
              </w:rPr>
              <w:t>「心閱人文：人文關懷與創新」微學分課程</w:t>
            </w:r>
          </w:p>
        </w:tc>
      </w:tr>
      <w:tr w:rsidR="005154D4" w:rsidRPr="001C1E24" w14:paraId="5C7AD42D" w14:textId="77777777" w:rsidTr="000C002B">
        <w:trPr>
          <w:trHeight w:val="3499"/>
          <w:jc w:val="center"/>
        </w:trPr>
        <w:tc>
          <w:tcPr>
            <w:tcW w:w="1536" w:type="dxa"/>
            <w:tcBorders>
              <w:left w:val="single" w:sz="12" w:space="0" w:color="auto"/>
            </w:tcBorders>
            <w:vAlign w:val="center"/>
          </w:tcPr>
          <w:p w14:paraId="5C50126E" w14:textId="77777777" w:rsidR="005154D4" w:rsidRDefault="008F0BE9" w:rsidP="008F0BE9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</w:t>
            </w:r>
            <w:r w:rsidR="005154D4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06DFE4AD" w14:textId="77777777" w:rsidR="005154D4" w:rsidRPr="00CD6B06" w:rsidRDefault="005154D4" w:rsidP="00F5511C">
            <w:pPr>
              <w:ind w:leftChars="37" w:left="89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624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14:paraId="565464BD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9A5C3E">
              <w:rPr>
                <w:rFonts w:ascii="Times New Roman" w:eastAsia="標楷體" w:hAnsi="Times New Roman" w:hint="eastAsia"/>
                <w:szCs w:val="24"/>
              </w:rPr>
              <w:t>文學院</w:t>
            </w:r>
          </w:p>
          <w:p w14:paraId="7EA980B8" w14:textId="77777777"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日期：</w:t>
            </w:r>
            <w:r w:rsidR="009A5C3E">
              <w:rPr>
                <w:rFonts w:eastAsia="標楷體" w:hint="eastAsia"/>
              </w:rPr>
              <w:t>114.05.07</w:t>
            </w:r>
            <w:r w:rsidR="009A5C3E">
              <w:rPr>
                <w:rFonts w:eastAsia="標楷體" w:hint="eastAsia"/>
              </w:rPr>
              <w:t>、</w:t>
            </w:r>
            <w:r w:rsidR="009A5C3E">
              <w:rPr>
                <w:rFonts w:eastAsia="標楷體" w:hint="eastAsia"/>
              </w:rPr>
              <w:t>114.05.14</w:t>
            </w:r>
            <w:r w:rsidR="009A5C3E">
              <w:rPr>
                <w:rFonts w:eastAsia="標楷體" w:hint="eastAsia"/>
              </w:rPr>
              <w:t>、</w:t>
            </w:r>
            <w:r w:rsidR="009A5C3E">
              <w:rPr>
                <w:rFonts w:eastAsia="標楷體" w:hint="eastAsia"/>
              </w:rPr>
              <w:t>114.05.21</w:t>
            </w:r>
            <w:r w:rsidR="009A5C3E">
              <w:rPr>
                <w:rFonts w:eastAsia="標楷體" w:hint="eastAsia"/>
              </w:rPr>
              <w:t>、</w:t>
            </w:r>
            <w:r w:rsidR="009A5C3E">
              <w:rPr>
                <w:rFonts w:eastAsia="標楷體" w:hint="eastAsia"/>
              </w:rPr>
              <w:t>114.05.28</w:t>
            </w:r>
            <w:r w:rsidR="009A5C3E">
              <w:rPr>
                <w:rFonts w:eastAsia="標楷體" w:hint="eastAsia"/>
              </w:rPr>
              <w:t>、</w:t>
            </w:r>
            <w:r w:rsidR="009A5C3E">
              <w:rPr>
                <w:rFonts w:eastAsia="標楷體" w:hint="eastAsia"/>
              </w:rPr>
              <w:t>114.06.04</w:t>
            </w:r>
          </w:p>
          <w:p w14:paraId="47BC1FC9" w14:textId="77777777"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地點：</w:t>
            </w:r>
            <w:r w:rsidR="009A5C3E">
              <w:rPr>
                <w:rFonts w:eastAsia="標楷體" w:hint="eastAsia"/>
              </w:rPr>
              <w:t>典</w:t>
            </w:r>
            <w:r w:rsidR="009A5C3E">
              <w:rPr>
                <w:rFonts w:eastAsia="標楷體" w:hint="eastAsia"/>
              </w:rPr>
              <w:t>213</w:t>
            </w:r>
          </w:p>
          <w:p w14:paraId="171C2F20" w14:textId="77777777"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</w:t>
            </w:r>
            <w:r w:rsidR="005154D4">
              <w:rPr>
                <w:rFonts w:eastAsia="標楷體" w:hint="eastAsia"/>
              </w:rPr>
              <w:t>：</w:t>
            </w:r>
            <w:r w:rsidR="00B7080B">
              <w:rPr>
                <w:rFonts w:eastAsia="標楷體"/>
              </w:rPr>
              <w:t xml:space="preserve"> </w:t>
            </w:r>
            <w:r w:rsidR="00211F0D">
              <w:rPr>
                <w:rFonts w:eastAsia="標楷體" w:hint="eastAsia"/>
              </w:rPr>
              <w:t>陳惠美</w:t>
            </w:r>
          </w:p>
          <w:p w14:paraId="2F488E95" w14:textId="77777777" w:rsidR="00CD22E4" w:rsidRDefault="00CD22E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授課講師：</w:t>
            </w:r>
            <w:r w:rsidR="00B7080B">
              <w:rPr>
                <w:rFonts w:eastAsia="標楷體"/>
              </w:rPr>
              <w:t xml:space="preserve"> </w:t>
            </w:r>
            <w:r w:rsidR="00211F0D">
              <w:rPr>
                <w:rFonts w:eastAsia="標楷體" w:hint="eastAsia"/>
              </w:rPr>
              <w:t>黃智信、王國忠、張殿文、張晏瑞、邱昭瑜</w:t>
            </w:r>
          </w:p>
          <w:p w14:paraId="0D92A733" w14:textId="77777777" w:rsidR="008F0BE9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鐘點規劃</w:t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學分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時數</w:t>
            </w:r>
            <w:r>
              <w:rPr>
                <w:rFonts w:eastAsia="標楷體" w:hint="eastAsia"/>
              </w:rPr>
              <w:t>):</w:t>
            </w:r>
            <w:r w:rsidR="00CD22E4">
              <w:rPr>
                <w:rFonts w:eastAsia="標楷體" w:hint="eastAsia"/>
              </w:rPr>
              <w:t xml:space="preserve"> </w:t>
            </w:r>
            <w:r w:rsidR="00211F0D">
              <w:rPr>
                <w:rFonts w:eastAsia="標楷體" w:hint="eastAsia"/>
              </w:rPr>
              <w:t>0.5</w:t>
            </w:r>
            <w:r w:rsidR="00211F0D">
              <w:rPr>
                <w:rFonts w:eastAsia="標楷體" w:hint="eastAsia"/>
              </w:rPr>
              <w:t>學分</w:t>
            </w:r>
            <w:r w:rsidR="00211F0D">
              <w:rPr>
                <w:rFonts w:eastAsia="標楷體" w:hint="eastAsia"/>
              </w:rPr>
              <w:t>/10</w:t>
            </w:r>
            <w:r w:rsidR="00211F0D">
              <w:rPr>
                <w:rFonts w:eastAsia="標楷體" w:hint="eastAsia"/>
              </w:rPr>
              <w:t>小時</w:t>
            </w:r>
          </w:p>
          <w:p w14:paraId="4E25046D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7E3D85">
              <w:rPr>
                <w:rFonts w:eastAsia="標楷體"/>
                <w:u w:val="single"/>
              </w:rPr>
              <w:t>6</w:t>
            </w:r>
            <w:r w:rsidR="006B6EA6">
              <w:rPr>
                <w:rFonts w:eastAsia="標楷體"/>
                <w:u w:val="single"/>
              </w:rPr>
              <w:t>7</w:t>
            </w:r>
            <w:r w:rsidR="007E3D85">
              <w:rPr>
                <w:rFonts w:eastAsia="標楷體" w:hint="eastAsia"/>
                <w:u w:val="single"/>
              </w:rPr>
              <w:t>、</w:t>
            </w:r>
            <w:r w:rsidR="007E3D85">
              <w:rPr>
                <w:rFonts w:eastAsia="標楷體"/>
                <w:u w:val="single"/>
              </w:rPr>
              <w:t>6</w:t>
            </w:r>
            <w:r w:rsidR="006B6EA6">
              <w:rPr>
                <w:rFonts w:eastAsia="標楷體"/>
                <w:u w:val="single"/>
              </w:rPr>
              <w:t>4</w:t>
            </w:r>
            <w:r w:rsidR="007E3D85">
              <w:rPr>
                <w:rFonts w:eastAsia="標楷體" w:hint="eastAsia"/>
                <w:u w:val="single"/>
              </w:rPr>
              <w:t>、</w:t>
            </w:r>
            <w:r w:rsidR="007E3D85">
              <w:rPr>
                <w:rFonts w:eastAsia="標楷體" w:hint="eastAsia"/>
                <w:u w:val="single"/>
              </w:rPr>
              <w:t>6</w:t>
            </w:r>
            <w:r w:rsidR="006B6EA6">
              <w:rPr>
                <w:rFonts w:eastAsia="標楷體"/>
                <w:u w:val="single"/>
              </w:rPr>
              <w:t>4</w:t>
            </w:r>
            <w:r w:rsidR="007E3D85">
              <w:rPr>
                <w:rFonts w:eastAsia="標楷體" w:hint="eastAsia"/>
                <w:u w:val="single"/>
              </w:rPr>
              <w:t>、</w:t>
            </w:r>
            <w:r w:rsidR="007E3D85">
              <w:rPr>
                <w:rFonts w:eastAsia="標楷體"/>
                <w:u w:val="single"/>
              </w:rPr>
              <w:t>7</w:t>
            </w:r>
            <w:r w:rsidR="006B6EA6">
              <w:rPr>
                <w:rFonts w:eastAsia="標楷體"/>
                <w:u w:val="single"/>
              </w:rPr>
              <w:t>6</w:t>
            </w:r>
            <w:r w:rsidR="006B6EA6">
              <w:rPr>
                <w:rFonts w:eastAsia="標楷體" w:hint="eastAsia"/>
                <w:u w:val="single"/>
              </w:rPr>
              <w:t>、</w:t>
            </w:r>
            <w:r w:rsidR="006B6EA6">
              <w:rPr>
                <w:rFonts w:eastAsia="標楷體"/>
                <w:u w:val="single"/>
              </w:rPr>
              <w:t>72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6B6EA6">
              <w:rPr>
                <w:rFonts w:eastAsia="標楷體"/>
                <w:u w:val="single"/>
              </w:rPr>
              <w:t>2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6B6EA6">
              <w:rPr>
                <w:rFonts w:eastAsia="標楷體"/>
                <w:u w:val="single"/>
              </w:rPr>
              <w:t>65</w:t>
            </w:r>
            <w:r w:rsidR="006B6EA6">
              <w:rPr>
                <w:rFonts w:eastAsia="標楷體" w:hint="eastAsia"/>
                <w:u w:val="single"/>
              </w:rPr>
              <w:t>、</w:t>
            </w:r>
            <w:r w:rsidR="006B6EA6">
              <w:rPr>
                <w:rFonts w:eastAsia="標楷體"/>
                <w:u w:val="single"/>
              </w:rPr>
              <w:t>62</w:t>
            </w:r>
            <w:r w:rsidR="006B6EA6">
              <w:rPr>
                <w:rFonts w:eastAsia="標楷體" w:hint="eastAsia"/>
                <w:u w:val="single"/>
              </w:rPr>
              <w:t>、</w:t>
            </w:r>
            <w:r w:rsidR="006B6EA6">
              <w:rPr>
                <w:rFonts w:eastAsia="標楷體" w:hint="eastAsia"/>
                <w:u w:val="single"/>
              </w:rPr>
              <w:t>6</w:t>
            </w:r>
            <w:r w:rsidR="006B6EA6">
              <w:rPr>
                <w:rFonts w:eastAsia="標楷體"/>
                <w:u w:val="single"/>
              </w:rPr>
              <w:t>2</w:t>
            </w:r>
            <w:r w:rsidR="006B6EA6">
              <w:rPr>
                <w:rFonts w:eastAsia="標楷體" w:hint="eastAsia"/>
                <w:u w:val="single"/>
              </w:rPr>
              <w:t>、</w:t>
            </w:r>
            <w:r w:rsidR="006B6EA6">
              <w:rPr>
                <w:rFonts w:eastAsia="標楷體"/>
                <w:u w:val="single"/>
              </w:rPr>
              <w:t>74</w:t>
            </w:r>
            <w:r w:rsidR="006B6EA6">
              <w:rPr>
                <w:rFonts w:eastAsia="標楷體" w:hint="eastAsia"/>
                <w:u w:val="single"/>
              </w:rPr>
              <w:t>、</w:t>
            </w:r>
            <w:r w:rsidR="006B6EA6">
              <w:rPr>
                <w:rFonts w:eastAsia="標楷體"/>
                <w:u w:val="single"/>
              </w:rPr>
              <w:t>70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14:paraId="7D27AC93" w14:textId="77777777" w:rsidR="007F3F0E" w:rsidRDefault="008F0BE9" w:rsidP="007F3F0E">
            <w:pPr>
              <w:ind w:leftChars="0" w:left="12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課程內容</w:t>
            </w:r>
            <w:r w:rsidR="005154D4">
              <w:rPr>
                <w:rFonts w:eastAsia="標楷體" w:hint="eastAsia"/>
              </w:rPr>
              <w:t>：</w:t>
            </w:r>
          </w:p>
          <w:p w14:paraId="76148194" w14:textId="77777777" w:rsidR="007F3F0E" w:rsidRPr="00F90586" w:rsidRDefault="007F3F0E" w:rsidP="00F90586">
            <w:pPr>
              <w:ind w:leftChars="0" w:left="120" w:firstLineChars="0" w:firstLine="0"/>
              <w:rPr>
                <w:rFonts w:ascii="標楷體" w:eastAsia="標楷體" w:hAnsi="標楷體"/>
              </w:rPr>
            </w:pPr>
            <w:r w:rsidRPr="00F90586">
              <w:rPr>
                <w:rFonts w:ascii="標楷體" w:eastAsia="標楷體" w:hAnsi="標楷體" w:hint="eastAsia"/>
              </w:rPr>
              <w:t xml:space="preserve">    114.05.07邀請台北市市立大學中國語文學系兼任助理教授黃智信老師主講：「</w:t>
            </w:r>
            <w:r w:rsidRPr="00F90586">
              <w:rPr>
                <w:rFonts w:ascii="標楷體" w:eastAsia="標楷體" w:hAnsi="標楷體"/>
              </w:rPr>
              <w:t>人文關懷的當代意義與實踐</w:t>
            </w:r>
            <w:r w:rsidRPr="00F90586">
              <w:rPr>
                <w:rFonts w:ascii="標楷體" w:eastAsia="標楷體" w:hAnsi="標楷體" w:hint="eastAsia"/>
              </w:rPr>
              <w:t>」，</w:t>
            </w:r>
            <w:r w:rsidRPr="00F90586">
              <w:rPr>
                <w:rFonts w:ascii="標楷體" w:eastAsia="標楷體" w:hAnsi="標楷體"/>
              </w:rPr>
              <w:t>本</w:t>
            </w:r>
            <w:r w:rsidRPr="00F90586">
              <w:rPr>
                <w:rFonts w:ascii="標楷體" w:eastAsia="標楷體" w:hAnsi="標楷體" w:hint="eastAsia"/>
              </w:rPr>
              <w:t>次講題</w:t>
            </w:r>
            <w:r w:rsidRPr="00F90586">
              <w:rPr>
                <w:rFonts w:ascii="標楷體" w:eastAsia="標楷體" w:hAnsi="標楷體"/>
              </w:rPr>
              <w:t>旨在引導學生認識「人文關懷」的基本概念、歷史演變與當代表現形式，並透過討論與書寫，從自身經驗出發，建立對人文精神的核心認知。人文關懷是指對人的處境、情感與尊嚴的理解與關注，強調尊重個體、關懷弱勢、培養同理心，並透過實際行動回應社會需求。其思想可追溯至古希臘哲學、儒家「仁」的理念、宗教慈悲觀，延續至現代人文主義與公民社會運動。</w:t>
            </w:r>
            <w:r w:rsidRPr="00F90586">
              <w:rPr>
                <w:rFonts w:ascii="標楷體" w:eastAsia="標楷體" w:hAnsi="標楷體" w:hint="eastAsia"/>
              </w:rPr>
              <w:t>本次演講</w:t>
            </w:r>
            <w:r w:rsidRPr="00F90586">
              <w:rPr>
                <w:rFonts w:ascii="標楷體" w:eastAsia="標楷體" w:hAnsi="標楷體"/>
              </w:rPr>
              <w:t>透過三個案例展示人文關懷的實踐面貌，包括：太陽花學運展現了青年對民主與公共利益的積極關注；公益設計中的無障礙設施體現對不同身體需求的回應；街友攝影計畫則翻轉了對弱勢的刻</w:t>
            </w:r>
            <w:r w:rsidRPr="00F90586">
              <w:rPr>
                <w:rFonts w:ascii="標楷體" w:eastAsia="標楷體" w:hAnsi="標楷體"/>
              </w:rPr>
              <w:lastRenderedPageBreak/>
              <w:t>板印象，促進理解與尊重。</w:t>
            </w:r>
          </w:p>
          <w:p w14:paraId="0BBC067A" w14:textId="77777777" w:rsidR="007F3F0E" w:rsidRPr="00F90586" w:rsidRDefault="007F3F0E" w:rsidP="00F90586">
            <w:pPr>
              <w:ind w:leftChars="0" w:left="120" w:firstLineChars="0" w:firstLine="0"/>
              <w:rPr>
                <w:rFonts w:ascii="標楷體" w:eastAsia="標楷體" w:hAnsi="標楷體"/>
              </w:rPr>
            </w:pPr>
            <w:r w:rsidRPr="00F90586">
              <w:rPr>
                <w:rFonts w:ascii="標楷體" w:eastAsia="標楷體" w:hAnsi="標楷體" w:hint="eastAsia"/>
              </w:rPr>
              <w:t xml:space="preserve">     114.05.</w:t>
            </w:r>
            <w:r w:rsidRPr="00F90586">
              <w:rPr>
                <w:rFonts w:ascii="標楷體" w:eastAsia="標楷體" w:hAnsi="標楷體"/>
              </w:rPr>
              <w:t>14</w:t>
            </w:r>
            <w:r w:rsidRPr="00F90586">
              <w:rPr>
                <w:rFonts w:ascii="標楷體" w:eastAsia="標楷體" w:hAnsi="標楷體" w:hint="eastAsia"/>
              </w:rPr>
              <w:t>邀請本系兼任助理教授王國忠老師主講：「AI與人文的對話：科技如何成為人文的助力？」本次演講旨在探討人工智慧如何成為人文實踐的輔助工具，強調科技與人文並非對立，而是可以互相促進、深化價值。首先介紹AI的三大基礎：生成式AI、資料分析與自然語言處理，幫助學生建立基本技術認知。透過實際案例，學生了解到AI已廣泛應用於文化保存（如數位化古文獻與虛擬重建）、教育（如智慧教學助理與教材設計）以及出版領域（如自動生成文案與封面設計），展現科技對人文工作者的支持力。本演講最後強調，人文的核心價值在於對意義的追尋與文化深度的體現，而AI只是輔助工具。唯有具備人文視角的使用者，才能真正賦予AI創作以文化內涵與社會價值。本課鼓勵學生發展跨域能力，在AI時代中成為有思辨力與創造力的行動者。</w:t>
            </w:r>
          </w:p>
          <w:p w14:paraId="4751259A" w14:textId="77777777" w:rsidR="007F3F0E" w:rsidRPr="00F90586" w:rsidRDefault="007F3F0E" w:rsidP="00F90586">
            <w:pPr>
              <w:ind w:leftChars="0" w:left="120" w:firstLineChars="0" w:firstLine="0"/>
              <w:rPr>
                <w:rFonts w:ascii="標楷體" w:eastAsia="標楷體" w:hAnsi="標楷體"/>
              </w:rPr>
            </w:pPr>
            <w:r w:rsidRPr="00F90586">
              <w:rPr>
                <w:rFonts w:ascii="標楷體" w:eastAsia="標楷體" w:hAnsi="標楷體" w:hint="eastAsia"/>
              </w:rPr>
              <w:t xml:space="preserve"> </w:t>
            </w:r>
            <w:r w:rsidRPr="00F90586">
              <w:rPr>
                <w:rFonts w:ascii="標楷體" w:eastAsia="標楷體" w:hAnsi="標楷體"/>
              </w:rPr>
              <w:t xml:space="preserve">   </w:t>
            </w:r>
            <w:r w:rsidRPr="00F90586">
              <w:rPr>
                <w:rFonts w:ascii="標楷體" w:eastAsia="標楷體" w:hAnsi="標楷體" w:hint="eastAsia"/>
              </w:rPr>
              <w:t>114.05.</w:t>
            </w:r>
            <w:r w:rsidRPr="00F90586">
              <w:rPr>
                <w:rFonts w:ascii="標楷體" w:eastAsia="標楷體" w:hAnsi="標楷體"/>
              </w:rPr>
              <w:t>21</w:t>
            </w:r>
            <w:r w:rsidRPr="00F90586">
              <w:rPr>
                <w:rFonts w:ascii="標楷體" w:eastAsia="標楷體" w:hAnsi="標楷體" w:hint="eastAsia"/>
              </w:rPr>
              <w:t>邀請</w:t>
            </w:r>
            <w:r w:rsidR="00AA39D9" w:rsidRPr="00F90586">
              <w:rPr>
                <w:rFonts w:ascii="標楷體" w:eastAsia="標楷體" w:hAnsi="標楷體" w:hint="eastAsia"/>
              </w:rPr>
              <w:t>本系校友、英國利物浦大學企管碩士、上海復旦大學新聞學院博士。中華日報董事、《e天下》副總編輯、《天下》資深撰述、《數位時代》總主筆。張殿文博士主講：「文字還能打動人嗎？AI時代的雜誌與人文想像」本次演講旨在探討</w:t>
            </w:r>
            <w:r w:rsidR="007E3D85" w:rsidRPr="00F90586">
              <w:rPr>
                <w:rFonts w:ascii="標楷體" w:eastAsia="標楷體" w:hAnsi="標楷體"/>
              </w:rPr>
              <w:t>生成式AI快速發展、資訊大量自動產出的時代，文字還能打動人心嗎？本場演講從「雜誌」這一人文與視覺結合的文化載體切入，追溯過去紙本雜誌如何透過文字、影像與版面編排營造深度閱讀經驗與情感連結；進而探討數位化與AI工具普及後，雜誌在內容生產、閱讀行為與美學經驗上的轉變。我們思考當文字不再仰賴人手書寫、故事不再需要真實經歷，是否意味著人文想像力的萎縮？還是開啟一場創作模式的革新？演講中將分享AI如</w:t>
            </w:r>
            <w:r w:rsidR="007E3D85" w:rsidRPr="00F90586">
              <w:rPr>
                <w:rFonts w:ascii="標楷體" w:eastAsia="標楷體" w:hAnsi="標楷體"/>
              </w:rPr>
              <w:lastRenderedPageBreak/>
              <w:t>何輔助文本生成、雜誌設計與互動閱讀等應用案例，亦反思人文教育在AI時代的價值與責任。最後提出「以人為本」的創作倫理與「技術為輔」的出版原則，呼籲讓AI成為拓展人文視野的工具，而非取代人心的產製者，使雜誌不僅保有人文質地，更能在新時代成為連結思想、啟發感動的重要平台。</w:t>
            </w:r>
          </w:p>
          <w:p w14:paraId="0F1C5007" w14:textId="77777777" w:rsidR="00AA39D9" w:rsidRPr="00F90586" w:rsidRDefault="00AA39D9" w:rsidP="00F90586">
            <w:pPr>
              <w:ind w:leftChars="0" w:left="120" w:firstLineChars="200" w:firstLine="480"/>
              <w:rPr>
                <w:rFonts w:ascii="標楷體" w:eastAsia="標楷體" w:hAnsi="標楷體"/>
              </w:rPr>
            </w:pPr>
            <w:r w:rsidRPr="00F90586">
              <w:rPr>
                <w:rFonts w:ascii="標楷體" w:eastAsia="標楷體" w:hAnsi="標楷體" w:hint="eastAsia"/>
              </w:rPr>
              <w:t>114.05.</w:t>
            </w:r>
            <w:r w:rsidRPr="00F90586">
              <w:rPr>
                <w:rFonts w:ascii="標楷體" w:eastAsia="標楷體" w:hAnsi="標楷體"/>
              </w:rPr>
              <w:t>28</w:t>
            </w:r>
            <w:r w:rsidRPr="00F90586">
              <w:rPr>
                <w:rFonts w:ascii="標楷體" w:eastAsia="標楷體" w:hAnsi="標楷體" w:hint="eastAsia"/>
              </w:rPr>
              <w:t>邀請萬卷樓圖書公司總編輯兼業務副總經理、臺灣師範大學兼任助理教授張晏瑞總編輯主講：「AI來襲：文史書籍出版的危機與轉機」</w:t>
            </w:r>
            <w:r w:rsidRPr="00F90586">
              <w:rPr>
                <w:rFonts w:ascii="標楷體" w:eastAsia="標楷體" w:hAnsi="標楷體"/>
              </w:rPr>
              <w:t>本演講以「AI來襲」為主題，探討人工智慧如何衝擊傳統出版模式，特別是文學與歷史領域的創作與知識傳播。AI工具具備快速生成文本、編輯潤飾、甚至模仿特定風格的能力，使內容生產進入高效率時代，然而也引發內容真實性、版權歸屬與作者角色被邊緣化等爭議。對於以深度、人文視角與歷史脈絡為核心價值的文史出版而言，這是一場認知與價值的考驗。然而，AI同樣提供創新的可能：歷史資料的自動整理與標註、文本數據庫的交叉分析，以及針對特定受眾的個性化出版策略，皆有助於內容再造與讀者拓展。演講中將分享出版實例與AI應用案例，說明如何以人機協作的方式讓AI成為知識守門人而非掠奪者。同時，亦反思未來文史出版應如何在堅持專業精神與人文價值的同時，擁抱科技工具，開創跨媒體、多語境的知識敘事模式。透過對危機與轉機的全面剖析，本演講將協助出版工作者與知識創作者重新定位角色，並尋找與AI共存共榮的新出路。</w:t>
            </w:r>
          </w:p>
          <w:p w14:paraId="4C36D02B" w14:textId="77777777" w:rsidR="00B7080B" w:rsidRPr="00F90586" w:rsidRDefault="00AA39D9" w:rsidP="00F90586">
            <w:pPr>
              <w:ind w:leftChars="0" w:left="120" w:firstLineChars="0" w:firstLine="0"/>
              <w:rPr>
                <w:rFonts w:ascii="標楷體" w:eastAsia="標楷體" w:hAnsi="標楷體"/>
              </w:rPr>
            </w:pPr>
            <w:r w:rsidRPr="00F90586">
              <w:rPr>
                <w:rFonts w:ascii="標楷體" w:eastAsia="標楷體" w:hAnsi="標楷體" w:hint="eastAsia"/>
              </w:rPr>
              <w:t xml:space="preserve">    114.0</w:t>
            </w:r>
            <w:r w:rsidR="00F90586" w:rsidRPr="00F90586">
              <w:rPr>
                <w:rFonts w:ascii="標楷體" w:eastAsia="標楷體" w:hAnsi="標楷體"/>
              </w:rPr>
              <w:t>6</w:t>
            </w:r>
            <w:r w:rsidRPr="00F90586">
              <w:rPr>
                <w:rFonts w:ascii="標楷體" w:eastAsia="標楷體" w:hAnsi="標楷體" w:hint="eastAsia"/>
              </w:rPr>
              <w:t>.</w:t>
            </w:r>
            <w:r w:rsidR="00F90586" w:rsidRPr="00F90586">
              <w:rPr>
                <w:rFonts w:ascii="標楷體" w:eastAsia="標楷體" w:hAnsi="標楷體"/>
              </w:rPr>
              <w:t>04</w:t>
            </w:r>
            <w:r w:rsidRPr="00F90586">
              <w:rPr>
                <w:rFonts w:ascii="標楷體" w:eastAsia="標楷體" w:hAnsi="標楷體" w:hint="eastAsia"/>
              </w:rPr>
              <w:t>邀請本系校友三百萬冊暢銷書得獎作家、資深影視編劇邱昭瑜編劇主講：「</w:t>
            </w:r>
            <w:r w:rsidRPr="00F90586">
              <w:rPr>
                <w:rFonts w:ascii="標楷體" w:eastAsia="標楷體" w:hAnsi="標楷體"/>
              </w:rPr>
              <w:t>從唐傳奇到當代影劇：以《聶隱娘》為例，談小說/戲劇人物的設</w:t>
            </w:r>
            <w:r w:rsidRPr="00F90586">
              <w:rPr>
                <w:rFonts w:ascii="標楷體" w:eastAsia="標楷體" w:hAnsi="標楷體"/>
              </w:rPr>
              <w:lastRenderedPageBreak/>
              <w:t>計技巧</w:t>
            </w:r>
            <w:r w:rsidRPr="00F90586">
              <w:rPr>
                <w:rFonts w:ascii="標楷體" w:eastAsia="標楷體" w:hAnsi="標楷體" w:hint="eastAsia"/>
              </w:rPr>
              <w:t>」</w:t>
            </w:r>
            <w:r w:rsidRPr="00F90586">
              <w:rPr>
                <w:rFonts w:ascii="標楷體" w:eastAsia="標楷體" w:hAnsi="標楷體"/>
              </w:rPr>
              <w:t>本場演講以《聶隱娘》為例，探討小說與影劇中人物設計的技巧，並對比唐代原著與當代電影的呈現異同。聶隱娘作為一個跨越千年的經典角色，其形象在不同文本中展現出豐富的變化與層次。原著中，聶隱娘是將軍之女，幼年被神秘尼姑帶走學習刺殺之術，歸來後開始執行刺客任務。她主動選擇婚姻，展現出反抗父權與渴望平凡生活的意志；在助人擊退刺客後，展現俠義精神，最後選擇出世隱居，完成角色弧光的轉變，成為精神象徵。其性格由果敢堅定到淡泊超然，內心戲主要藉由行動推論，語言簡練直接，動作描寫富有奇幻色彩。電影版《刺客聶隱娘》則由侯孝賢導演重新詮釋角色背景與成長歷程。聶隱娘的父親背景被淡化，由師父嘉信養大，性格呈現冷靜寡言、情緒內斂。她對刺殺任務的質疑成為內心衝突的核心，動作描寫則節制凝練，內心戲透過鏡頭凝視與象徵物件呈現細膩情感。其人物弧光由受控刺客到心理掙扎，最終選擇自由人生與內心平靜。兩個版本展現出從動作導向到心理導向的創作差異。透過面向性格、動機、人物弧光、語言風格、動作描寫與內心戲的六面體比較，本次演講引導聽眾思考角色設計在跨文本轉化中的美學與敘事策略，並邀請大家重新想像心中的聶隱娘結局。</w:t>
            </w:r>
          </w:p>
          <w:p w14:paraId="6DDCE13A" w14:textId="77777777" w:rsidR="007F3F0E" w:rsidRPr="00F90586" w:rsidRDefault="00CD22E4" w:rsidP="00F90586">
            <w:pPr>
              <w:ind w:leftChars="20" w:left="146" w:hangingChars="41" w:hanging="98"/>
              <w:jc w:val="both"/>
              <w:rPr>
                <w:rFonts w:eastAsia="標楷體"/>
                <w:b/>
              </w:rPr>
            </w:pPr>
            <w:r w:rsidRPr="00F90586">
              <w:rPr>
                <w:rFonts w:eastAsia="標楷體" w:hint="eastAsia"/>
                <w:b/>
              </w:rPr>
              <w:t>執行成效：</w:t>
            </w:r>
          </w:p>
          <w:p w14:paraId="4DB96595" w14:textId="77777777" w:rsidR="005154D4" w:rsidRPr="00F90586" w:rsidRDefault="007F3F0E" w:rsidP="00F90586">
            <w:pPr>
              <w:ind w:leftChars="0" w:left="0" w:firstLineChars="0" w:firstLine="1"/>
              <w:rPr>
                <w:rFonts w:ascii="標楷體" w:eastAsia="標楷體" w:hAnsi="標楷體"/>
              </w:rPr>
            </w:pPr>
            <w:r w:rsidRPr="00F90586">
              <w:rPr>
                <w:rFonts w:ascii="標楷體" w:eastAsia="標楷體" w:hAnsi="標楷體" w:hint="eastAsia"/>
              </w:rPr>
              <w:t xml:space="preserve">    </w:t>
            </w:r>
            <w:r w:rsidR="00AA39D9" w:rsidRPr="00F90586">
              <w:rPr>
                <w:rFonts w:ascii="標楷體" w:eastAsia="標楷體" w:hAnsi="標楷體"/>
              </w:rPr>
              <w:t>透過五次演講，學生在多面向學習中展現良好成效。首先，在人文關懷面向，學生不僅理解相關定義與案例，亦培養觀察生活、關懷他人與表達自我經驗的能力，為後續人文實踐與創作奠定良好基礎。其次，在AI應用學習上，學生對AI工具表現出高度興趣，多數已能清楚辨識生成式AI、資料分析與自然語言</w:t>
            </w:r>
            <w:r w:rsidR="00AA39D9" w:rsidRPr="00F90586">
              <w:rPr>
                <w:rFonts w:ascii="標楷體" w:eastAsia="標楷體" w:hAnsi="標楷體"/>
              </w:rPr>
              <w:lastRenderedPageBreak/>
              <w:t>處理等三大技術面向，並能舉出實際應用案例，同時展現出對AI倫理與文化真實性的初步批判性思考能力。演講中與談互動熱烈，聽眾積極提問，特別關注AI協作與文字深度之平衡，部分學生已將相關概念融入創作實務中，顯示推廣效益良好。進一步在角色設計課題中，學員透過原著與電影版《聶隱娘》比較分析，深化對人物性格、動機與情感發展的理解，展現優異的文學與影視跨媒介分析能力，並達成預期之教學成效。此外，講座亦成功引發與會者對AI與文史出版未來發展的高度關注與討論，多數參與者已具備AI應用基礎認知，並表達持續探索人機協作出版模式之意願。</w:t>
            </w:r>
          </w:p>
        </w:tc>
      </w:tr>
      <w:tr w:rsidR="00F0198F" w:rsidRPr="004F456F" w14:paraId="70E3D9E6" w14:textId="77777777" w:rsidTr="00CD22E4">
        <w:trPr>
          <w:trHeight w:val="677"/>
          <w:jc w:val="center"/>
        </w:trPr>
        <w:tc>
          <w:tcPr>
            <w:tcW w:w="1536" w:type="dxa"/>
            <w:vMerge w:val="restart"/>
            <w:tcBorders>
              <w:left w:val="single" w:sz="12" w:space="0" w:color="auto"/>
            </w:tcBorders>
            <w:vAlign w:val="center"/>
          </w:tcPr>
          <w:p w14:paraId="6F2AB463" w14:textId="77777777" w:rsidR="00F0198F" w:rsidRPr="00CD6B06" w:rsidRDefault="00F0198F" w:rsidP="00345650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</w:tc>
        <w:tc>
          <w:tcPr>
            <w:tcW w:w="6277" w:type="dxa"/>
            <w:tcBorders>
              <w:right w:val="single" w:sz="4" w:space="0" w:color="auto"/>
            </w:tcBorders>
            <w:vAlign w:val="center"/>
          </w:tcPr>
          <w:p w14:paraId="54572556" w14:textId="77777777" w:rsidR="00F0198F" w:rsidRPr="003125AC" w:rsidRDefault="00F0198F" w:rsidP="00B33F69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E403952" w14:textId="77777777" w:rsidR="00F0198F" w:rsidRPr="003125AC" w:rsidRDefault="00F0198F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F0198F" w:rsidRPr="004F456F" w14:paraId="5218882C" w14:textId="77777777" w:rsidTr="00CD22E4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vAlign w:val="center"/>
          </w:tcPr>
          <w:p w14:paraId="702B47F5" w14:textId="77777777" w:rsidR="00F0198F" w:rsidRDefault="00F0198F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</w:tcPr>
          <w:p w14:paraId="47748880" w14:textId="77777777" w:rsidR="00F0198F" w:rsidRPr="00B33F69" w:rsidRDefault="00F0198F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noProof/>
                <w:spacing w:val="-4"/>
                <w:szCs w:val="24"/>
              </w:rPr>
              <w:drawing>
                <wp:inline distT="0" distB="0" distL="0" distR="0" wp14:anchorId="550826F6" wp14:editId="34CB959E">
                  <wp:extent cx="2623108" cy="1574800"/>
                  <wp:effectExtent l="0" t="0" r="635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731" cy="158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CA57223" w14:textId="77777777" w:rsidR="00F0198F" w:rsidRPr="000A3C6D" w:rsidRDefault="00F0198F" w:rsidP="007E3D85">
            <w:pPr>
              <w:ind w:leftChars="0" w:left="-2" w:firstLineChars="0" w:firstLine="2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114.05.</w:t>
            </w:r>
            <w:r>
              <w:rPr>
                <w:rFonts w:eastAsia="標楷體"/>
              </w:rPr>
              <w:t>07</w:t>
            </w:r>
            <w:r>
              <w:rPr>
                <w:rFonts w:ascii="標楷體" w:eastAsia="標楷體" w:hAnsi="標楷體" w:hint="eastAsia"/>
              </w:rPr>
              <w:t>黃智信老師演講情形</w:t>
            </w:r>
          </w:p>
        </w:tc>
      </w:tr>
      <w:tr w:rsidR="00F0198F" w:rsidRPr="004F456F" w14:paraId="5E66B472" w14:textId="77777777" w:rsidTr="00CD22E4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vAlign w:val="center"/>
          </w:tcPr>
          <w:p w14:paraId="122CE990" w14:textId="77777777" w:rsidR="00F0198F" w:rsidRDefault="00F0198F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</w:tcPr>
          <w:p w14:paraId="6008EA2A" w14:textId="77777777" w:rsidR="00F0198F" w:rsidRDefault="00F0198F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137979C" wp14:editId="4CBFDA8B">
                  <wp:extent cx="2799715" cy="1638935"/>
                  <wp:effectExtent l="0" t="0" r="635" b="0"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C3795" w14:textId="77777777" w:rsidR="00F0198F" w:rsidRPr="00CD22E4" w:rsidRDefault="00F0198F" w:rsidP="00CD22E4">
            <w:pPr>
              <w:tabs>
                <w:tab w:val="left" w:pos="1185"/>
              </w:tabs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/>
              </w:rPr>
              <w:tab/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CBD1F4D" w14:textId="77777777" w:rsidR="00F0198F" w:rsidRPr="00CD22E4" w:rsidRDefault="00F0198F" w:rsidP="007E3D85">
            <w:pPr>
              <w:ind w:leftChars="0" w:left="0" w:firstLineChars="0" w:firstLine="2"/>
              <w:rPr>
                <w:rFonts w:eastAsia="標楷體"/>
              </w:rPr>
            </w:pPr>
            <w:r>
              <w:rPr>
                <w:rFonts w:eastAsia="標楷體" w:hint="eastAsia"/>
              </w:rPr>
              <w:t>114.05.</w:t>
            </w:r>
            <w:r>
              <w:rPr>
                <w:rFonts w:eastAsia="標楷體"/>
              </w:rPr>
              <w:t>14</w:t>
            </w:r>
            <w:r>
              <w:rPr>
                <w:rFonts w:eastAsia="標楷體" w:hint="eastAsia"/>
              </w:rPr>
              <w:t>王國忠老師</w:t>
            </w:r>
            <w:r>
              <w:rPr>
                <w:rFonts w:ascii="標楷體" w:eastAsia="標楷體" w:hAnsi="標楷體" w:hint="eastAsia"/>
              </w:rPr>
              <w:t>演講情形</w:t>
            </w:r>
          </w:p>
        </w:tc>
      </w:tr>
      <w:tr w:rsidR="00F0198F" w:rsidRPr="004F456F" w14:paraId="77994BAA" w14:textId="77777777" w:rsidTr="00CD22E4">
        <w:trPr>
          <w:trHeight w:val="983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vAlign w:val="center"/>
          </w:tcPr>
          <w:p w14:paraId="252573B3" w14:textId="77777777" w:rsidR="00F0198F" w:rsidRDefault="00F0198F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</w:tcPr>
          <w:p w14:paraId="28D45E4A" w14:textId="77777777" w:rsidR="00F0198F" w:rsidRPr="000A3C6D" w:rsidRDefault="00F0198F" w:rsidP="00CD22E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  <w:noProof/>
                <w:spacing w:val="-4"/>
                <w:szCs w:val="24"/>
              </w:rPr>
              <w:drawing>
                <wp:inline distT="0" distB="0" distL="0" distR="0" wp14:anchorId="772FDA0A" wp14:editId="01CCAB3F">
                  <wp:extent cx="2821305" cy="168021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6320290" w14:textId="77777777" w:rsidR="00F0198F" w:rsidRPr="007E3D85" w:rsidRDefault="00F0198F" w:rsidP="007E3D85">
            <w:pPr>
              <w:ind w:leftChars="0" w:left="0" w:firstLineChars="0" w:firstLine="2"/>
            </w:pPr>
            <w:r>
              <w:rPr>
                <w:rFonts w:eastAsia="標楷體" w:hint="eastAsia"/>
              </w:rPr>
              <w:t>114.05.</w:t>
            </w:r>
            <w:r>
              <w:rPr>
                <w:rFonts w:eastAsia="標楷體"/>
              </w:rPr>
              <w:t>21</w:t>
            </w:r>
            <w:r>
              <w:rPr>
                <w:rFonts w:ascii="標楷體" w:eastAsia="標楷體" w:hAnsi="標楷體" w:hint="eastAsia"/>
              </w:rPr>
              <w:t>張殿文博士演講情形</w:t>
            </w:r>
          </w:p>
        </w:tc>
      </w:tr>
      <w:tr w:rsidR="00F0198F" w:rsidRPr="004F456F" w14:paraId="5B474689" w14:textId="77777777" w:rsidTr="00CD22E4">
        <w:trPr>
          <w:trHeight w:val="998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vAlign w:val="center"/>
          </w:tcPr>
          <w:p w14:paraId="4EF8B49D" w14:textId="77777777" w:rsidR="00F0198F" w:rsidRDefault="00F0198F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</w:tcPr>
          <w:p w14:paraId="3635CE9E" w14:textId="77777777" w:rsidR="00F0198F" w:rsidRPr="000A3C6D" w:rsidRDefault="00F0198F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 wp14:anchorId="23D23BDF" wp14:editId="534FA564">
                  <wp:extent cx="2821305" cy="21151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944463C" w14:textId="77777777" w:rsidR="00F0198F" w:rsidRPr="007E3D85" w:rsidRDefault="00F0198F" w:rsidP="007E3D85">
            <w:pPr>
              <w:ind w:leftChars="0" w:left="0" w:firstLineChars="0" w:firstLine="2"/>
            </w:pPr>
            <w:r>
              <w:rPr>
                <w:rFonts w:eastAsia="標楷體" w:hint="eastAsia"/>
              </w:rPr>
              <w:t>114.05.</w:t>
            </w:r>
            <w:r>
              <w:rPr>
                <w:rFonts w:eastAsia="標楷體"/>
              </w:rPr>
              <w:t>28</w:t>
            </w:r>
            <w:r>
              <w:rPr>
                <w:rFonts w:eastAsia="標楷體" w:hint="eastAsia"/>
              </w:rPr>
              <w:t>張晏瑞總編輯</w:t>
            </w:r>
            <w:r>
              <w:rPr>
                <w:rFonts w:ascii="標楷體" w:eastAsia="標楷體" w:hAnsi="標楷體" w:hint="eastAsia"/>
              </w:rPr>
              <w:t>演講情形</w:t>
            </w:r>
          </w:p>
        </w:tc>
      </w:tr>
      <w:tr w:rsidR="00F0198F" w:rsidRPr="004F456F" w14:paraId="6FF2D633" w14:textId="77777777" w:rsidTr="00CD22E4">
        <w:trPr>
          <w:trHeight w:val="998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vAlign w:val="center"/>
          </w:tcPr>
          <w:p w14:paraId="5869CE55" w14:textId="77777777" w:rsidR="00F0198F" w:rsidRDefault="00F0198F" w:rsidP="00F0198F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</w:tcPr>
          <w:p w14:paraId="6E1D878A" w14:textId="77777777" w:rsidR="00F0198F" w:rsidRDefault="00F0198F" w:rsidP="00F0198F">
            <w:pPr>
              <w:ind w:left="360" w:hanging="240"/>
              <w:jc w:val="both"/>
              <w:rPr>
                <w:rFonts w:ascii="Times New Roman" w:eastAsia="標楷體" w:hAnsi="Times New Roman"/>
                <w:noProof/>
                <w:color w:val="7F7F7F"/>
                <w:szCs w:val="24"/>
              </w:rPr>
            </w:pPr>
            <w:r>
              <w:rPr>
                <w:rFonts w:eastAsia="標楷體"/>
                <w:noProof/>
                <w:spacing w:val="-4"/>
                <w:szCs w:val="24"/>
              </w:rPr>
              <w:drawing>
                <wp:inline distT="0" distB="0" distL="0" distR="0" wp14:anchorId="3188D3D5" wp14:editId="6933586F">
                  <wp:extent cx="2628900" cy="152654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DE5B237" w14:textId="77777777" w:rsidR="00F0198F" w:rsidRPr="007E3D85" w:rsidRDefault="00F0198F" w:rsidP="00F0198F">
            <w:pPr>
              <w:ind w:leftChars="0" w:left="0" w:firstLineChars="0" w:firstLine="2"/>
            </w:pPr>
            <w:r>
              <w:rPr>
                <w:rFonts w:eastAsia="標楷體" w:hint="eastAsia"/>
              </w:rPr>
              <w:t>114.0</w:t>
            </w:r>
            <w:r>
              <w:rPr>
                <w:rFonts w:eastAsia="標楷體"/>
              </w:rPr>
              <w:t>6</w:t>
            </w:r>
            <w:r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04</w:t>
            </w:r>
            <w:r w:rsidRPr="00F90586">
              <w:rPr>
                <w:rFonts w:ascii="標楷體" w:eastAsia="標楷體" w:hAnsi="標楷體" w:hint="eastAsia"/>
              </w:rPr>
              <w:t>邱昭瑜編劇</w:t>
            </w:r>
            <w:r>
              <w:rPr>
                <w:rFonts w:ascii="標楷體" w:eastAsia="標楷體" w:hAnsi="標楷體" w:hint="eastAsia"/>
              </w:rPr>
              <w:t>演講情形</w:t>
            </w:r>
          </w:p>
        </w:tc>
      </w:tr>
    </w:tbl>
    <w:p w14:paraId="521043DC" w14:textId="77777777" w:rsidR="00BC55D2" w:rsidRDefault="00BC55D2" w:rsidP="005154D4">
      <w:pPr>
        <w:ind w:left="360" w:hanging="240"/>
      </w:pPr>
    </w:p>
    <w:sectPr w:rsidR="00BC55D2" w:rsidSect="009D50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E6C36" w14:textId="77777777" w:rsidR="00AB7003" w:rsidRDefault="00AB7003" w:rsidP="00B23FF5">
      <w:pPr>
        <w:ind w:left="360" w:hanging="240"/>
      </w:pPr>
      <w:r>
        <w:separator/>
      </w:r>
    </w:p>
  </w:endnote>
  <w:endnote w:type="continuationSeparator" w:id="0">
    <w:p w14:paraId="498EBD94" w14:textId="77777777" w:rsidR="00AB7003" w:rsidRDefault="00AB7003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D1411" w14:textId="77777777" w:rsidR="008F7AB8" w:rsidRDefault="008F7AB8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747297"/>
      <w:docPartObj>
        <w:docPartGallery w:val="Page Numbers (Bottom of Page)"/>
        <w:docPartUnique/>
      </w:docPartObj>
    </w:sdtPr>
    <w:sdtEndPr/>
    <w:sdtContent>
      <w:p w14:paraId="0A7D0F33" w14:textId="77777777" w:rsidR="008F7AB8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198F" w:rsidRPr="00F0198F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7ABCD484" w14:textId="77777777" w:rsidR="008F7AB8" w:rsidRDefault="008F7AB8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4B344" w14:textId="77777777" w:rsidR="008F7AB8" w:rsidRDefault="008F7AB8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F633C" w14:textId="77777777" w:rsidR="00AB7003" w:rsidRDefault="00AB7003" w:rsidP="00B23FF5">
      <w:pPr>
        <w:ind w:left="360" w:hanging="240"/>
      </w:pPr>
      <w:r>
        <w:separator/>
      </w:r>
    </w:p>
  </w:footnote>
  <w:footnote w:type="continuationSeparator" w:id="0">
    <w:p w14:paraId="1051C65F" w14:textId="77777777" w:rsidR="00AB7003" w:rsidRDefault="00AB7003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DB89E" w14:textId="77777777" w:rsidR="008F7AB8" w:rsidRDefault="008F7AB8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1EBE6" w14:textId="77777777" w:rsidR="008F7AB8" w:rsidRDefault="008F7AB8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D35D9" w14:textId="77777777" w:rsidR="008F7AB8" w:rsidRDefault="008F7AB8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8"/>
  <w:bordersDoNotSurroundHeader/>
  <w:bordersDoNotSurroundFooter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C002B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1F0D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45650"/>
    <w:rsid w:val="00354423"/>
    <w:rsid w:val="003645C9"/>
    <w:rsid w:val="00394BFA"/>
    <w:rsid w:val="003A7DBF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C11F5"/>
    <w:rsid w:val="00603F7C"/>
    <w:rsid w:val="00617A41"/>
    <w:rsid w:val="00656733"/>
    <w:rsid w:val="006647F3"/>
    <w:rsid w:val="00684CAE"/>
    <w:rsid w:val="006B3051"/>
    <w:rsid w:val="006B368D"/>
    <w:rsid w:val="006B6EA6"/>
    <w:rsid w:val="006C58CC"/>
    <w:rsid w:val="006E2A84"/>
    <w:rsid w:val="0070235E"/>
    <w:rsid w:val="00721127"/>
    <w:rsid w:val="00737512"/>
    <w:rsid w:val="0079038A"/>
    <w:rsid w:val="00791708"/>
    <w:rsid w:val="007972AF"/>
    <w:rsid w:val="007A3F40"/>
    <w:rsid w:val="007B623C"/>
    <w:rsid w:val="007C61EE"/>
    <w:rsid w:val="007D5CFA"/>
    <w:rsid w:val="007E3D85"/>
    <w:rsid w:val="007F3F0E"/>
    <w:rsid w:val="00806B41"/>
    <w:rsid w:val="00814324"/>
    <w:rsid w:val="00821128"/>
    <w:rsid w:val="00831778"/>
    <w:rsid w:val="008328BE"/>
    <w:rsid w:val="008424F1"/>
    <w:rsid w:val="00867202"/>
    <w:rsid w:val="00872AE2"/>
    <w:rsid w:val="008737D0"/>
    <w:rsid w:val="00883668"/>
    <w:rsid w:val="008A6FB5"/>
    <w:rsid w:val="008B4AE5"/>
    <w:rsid w:val="008B50AA"/>
    <w:rsid w:val="008D5BE1"/>
    <w:rsid w:val="008E4C06"/>
    <w:rsid w:val="008F0BE9"/>
    <w:rsid w:val="008F1184"/>
    <w:rsid w:val="008F5994"/>
    <w:rsid w:val="008F7AB8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A5C3E"/>
    <w:rsid w:val="009B165F"/>
    <w:rsid w:val="009C68C4"/>
    <w:rsid w:val="009D0A74"/>
    <w:rsid w:val="009D50D6"/>
    <w:rsid w:val="00A30B72"/>
    <w:rsid w:val="00A32E54"/>
    <w:rsid w:val="00A36E0F"/>
    <w:rsid w:val="00A45E48"/>
    <w:rsid w:val="00A462F3"/>
    <w:rsid w:val="00A47DAA"/>
    <w:rsid w:val="00A53C82"/>
    <w:rsid w:val="00A735F7"/>
    <w:rsid w:val="00A94BDF"/>
    <w:rsid w:val="00AA1183"/>
    <w:rsid w:val="00AA39D9"/>
    <w:rsid w:val="00AA6D86"/>
    <w:rsid w:val="00AB6392"/>
    <w:rsid w:val="00AB7003"/>
    <w:rsid w:val="00AC1584"/>
    <w:rsid w:val="00AE1A9C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5503E"/>
    <w:rsid w:val="00B7080B"/>
    <w:rsid w:val="00B77EA2"/>
    <w:rsid w:val="00B92094"/>
    <w:rsid w:val="00BA069C"/>
    <w:rsid w:val="00BA7DBC"/>
    <w:rsid w:val="00BB5CD8"/>
    <w:rsid w:val="00BC0BE0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61B34"/>
    <w:rsid w:val="00C674E9"/>
    <w:rsid w:val="00C755BC"/>
    <w:rsid w:val="00C75BA7"/>
    <w:rsid w:val="00C85903"/>
    <w:rsid w:val="00CA789C"/>
    <w:rsid w:val="00CB0934"/>
    <w:rsid w:val="00CC3263"/>
    <w:rsid w:val="00CD0C6E"/>
    <w:rsid w:val="00CD22E4"/>
    <w:rsid w:val="00CD6B1E"/>
    <w:rsid w:val="00CE4AF7"/>
    <w:rsid w:val="00CF6CE0"/>
    <w:rsid w:val="00D17A99"/>
    <w:rsid w:val="00D47A2C"/>
    <w:rsid w:val="00D8364E"/>
    <w:rsid w:val="00D9258C"/>
    <w:rsid w:val="00DA393E"/>
    <w:rsid w:val="00DB5541"/>
    <w:rsid w:val="00DD2997"/>
    <w:rsid w:val="00DE7848"/>
    <w:rsid w:val="00E54DDB"/>
    <w:rsid w:val="00E70B4B"/>
    <w:rsid w:val="00E71E26"/>
    <w:rsid w:val="00E83F85"/>
    <w:rsid w:val="00E9468D"/>
    <w:rsid w:val="00EE2775"/>
    <w:rsid w:val="00EF0C35"/>
    <w:rsid w:val="00F01582"/>
    <w:rsid w:val="00F0198F"/>
    <w:rsid w:val="00F21BF7"/>
    <w:rsid w:val="00F33C19"/>
    <w:rsid w:val="00F52604"/>
    <w:rsid w:val="00F5511C"/>
    <w:rsid w:val="00F61A9E"/>
    <w:rsid w:val="00F90586"/>
    <w:rsid w:val="00F90777"/>
    <w:rsid w:val="00F90D9B"/>
    <w:rsid w:val="00FA3CD5"/>
    <w:rsid w:val="00FB6A67"/>
    <w:rsid w:val="00FC235A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328ED3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footer" Target="footer3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header" Target="header1.xml" /><Relationship Id="rId5" Type="http://schemas.openxmlformats.org/officeDocument/2006/relationships/endnotes" Target="endnotes.xml" /><Relationship Id="rId15" Type="http://schemas.openxmlformats.org/officeDocument/2006/relationships/header" Target="header3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陳惠美</cp:lastModifiedBy>
  <cp:revision>2</cp:revision>
  <dcterms:created xsi:type="dcterms:W3CDTF">2025-08-11T01:40:00Z</dcterms:created>
  <dcterms:modified xsi:type="dcterms:W3CDTF">2025-08-11T01:40:00Z</dcterms:modified>
</cp:coreProperties>
</file>