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C68F" w14:textId="77777777" w:rsidR="00215890" w:rsidRPr="00C67B05" w:rsidRDefault="00215890" w:rsidP="00215890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中國文化大學教育部高教深耕計畫</w:t>
      </w:r>
      <w:r>
        <w:rPr>
          <w:rFonts w:ascii="Times New Roman" w:eastAsia="標楷體" w:hAnsi="標楷體" w:hint="eastAsia"/>
          <w:b/>
          <w:sz w:val="32"/>
          <w:szCs w:val="32"/>
        </w:rPr>
        <w:t>計畫成果紀錄表</w:t>
      </w:r>
    </w:p>
    <w:p w14:paraId="604C22C1" w14:textId="77777777" w:rsidR="00215890" w:rsidRPr="00AA4D32" w:rsidRDefault="00215890" w:rsidP="00215890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4963"/>
        <w:gridCol w:w="3824"/>
      </w:tblGrid>
      <w:tr w:rsidR="006B11E3" w:rsidRPr="001C1E24" w14:paraId="4976850B" w14:textId="77777777" w:rsidTr="00D90E24">
        <w:trPr>
          <w:trHeight w:val="567"/>
          <w:jc w:val="center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DE38E7" w14:textId="77777777" w:rsidR="00215890" w:rsidRPr="00DD15DF" w:rsidRDefault="00215890" w:rsidP="00D90E24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7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9DA3F" w14:textId="77777777" w:rsidR="00215890" w:rsidRPr="00C85903" w:rsidRDefault="00215890" w:rsidP="00D90E24">
            <w:pPr>
              <w:ind w:left="360" w:hanging="24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E22117">
              <w:rPr>
                <w:rFonts w:ascii="Times New Roman" w:eastAsia="標楷體" w:hAnsi="Times New Roman" w:hint="eastAsia"/>
                <w:szCs w:val="24"/>
              </w:rPr>
              <w:t>A3-1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提供教師跨域教學增能</w:t>
            </w:r>
            <w:r w:rsidRPr="00E22117">
              <w:rPr>
                <w:rFonts w:ascii="Times New Roman" w:eastAsia="標楷體" w:hAnsi="Times New Roman"/>
                <w:szCs w:val="24"/>
              </w:rPr>
              <w:t>，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學生多元跨域學習</w:t>
            </w:r>
          </w:p>
        </w:tc>
      </w:tr>
      <w:tr w:rsidR="006B11E3" w:rsidRPr="001C1E24" w14:paraId="4A53C1BD" w14:textId="77777777" w:rsidTr="00D90E24">
        <w:trPr>
          <w:trHeight w:val="567"/>
          <w:jc w:val="center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ACEE3" w14:textId="77777777" w:rsidR="00215890" w:rsidRDefault="00215890" w:rsidP="00D90E24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70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3FB6C6" w14:textId="77777777" w:rsidR="00215890" w:rsidRPr="00A97F70" w:rsidRDefault="00215890" w:rsidP="00D90E24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E22117">
              <w:rPr>
                <w:rFonts w:ascii="Times New Roman" w:eastAsia="標楷體" w:hAnsi="Times New Roman" w:hint="eastAsia"/>
                <w:szCs w:val="24"/>
              </w:rPr>
              <w:t>114-1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深耕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A3</w:t>
            </w:r>
            <w:r>
              <w:rPr>
                <w:rFonts w:ascii="Times New Roman" w:eastAsia="標楷體" w:hAnsi="Times New Roman" w:hint="eastAsia"/>
                <w:szCs w:val="24"/>
              </w:rPr>
              <w:t>計畫教師跨域教學增能線上發表會</w:t>
            </w:r>
          </w:p>
        </w:tc>
      </w:tr>
      <w:tr w:rsidR="006B11E3" w:rsidRPr="001C1E24" w14:paraId="6EA41171" w14:textId="77777777" w:rsidTr="00D90E24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3C5A96" w14:textId="77777777" w:rsidR="00215890" w:rsidRPr="00CD6B06" w:rsidRDefault="00215890" w:rsidP="00D90E24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6BE7AF" w14:textId="265E6022" w:rsidR="00215890" w:rsidRPr="0083171C" w:rsidRDefault="00FA4455" w:rsidP="00D90E24">
            <w:pPr>
              <w:ind w:left="36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FA4455">
              <w:rPr>
                <w:rFonts w:ascii="標楷體" w:eastAsia="標楷體" w:hAnsi="標楷體" w:hint="eastAsia"/>
                <w:szCs w:val="24"/>
              </w:rPr>
              <w:t>建構大學社會參與之影響力評估路徑與經驗</w:t>
            </w:r>
            <w:r w:rsidR="00714792" w:rsidRPr="00714792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6B11E3" w:rsidRPr="001C1E24" w14:paraId="7B26339C" w14:textId="77777777" w:rsidTr="00D90E24">
        <w:trPr>
          <w:trHeight w:val="3628"/>
          <w:jc w:val="center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273E1955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145EA055" w14:textId="77777777" w:rsidR="00215890" w:rsidRPr="00CD6B06" w:rsidRDefault="00215890" w:rsidP="00D90E24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70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D39972D" w14:textId="77777777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主辦單位：深耕</w:t>
            </w:r>
            <w:r>
              <w:rPr>
                <w:rFonts w:eastAsia="標楷體" w:hint="eastAsia"/>
              </w:rPr>
              <w:t>A3</w:t>
            </w:r>
            <w:r>
              <w:rPr>
                <w:rFonts w:eastAsia="標楷體" w:hint="eastAsia"/>
              </w:rPr>
              <w:t>計畫</w:t>
            </w:r>
            <w:r w:rsidRPr="00E22117">
              <w:rPr>
                <w:rFonts w:eastAsia="標楷體"/>
              </w:rPr>
              <w:t>、</w:t>
            </w:r>
            <w:r>
              <w:rPr>
                <w:rFonts w:eastAsia="標楷體" w:hint="eastAsia"/>
              </w:rPr>
              <w:t>共同科目與通識教育中心</w:t>
            </w:r>
          </w:p>
          <w:p w14:paraId="756958F5" w14:textId="06249C94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活動日期：</w:t>
            </w:r>
            <w:r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</w:t>
            </w:r>
            <w:r w:rsidR="00FA4455"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月</w:t>
            </w:r>
            <w:r w:rsidR="00FA4455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13:00-14:00</w:t>
            </w:r>
          </w:p>
          <w:p w14:paraId="6586B75F" w14:textId="3CFD82C1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F30EB0">
              <w:rPr>
                <w:rFonts w:eastAsia="標楷體"/>
              </w:rPr>
              <w:t>teams</w:t>
            </w:r>
          </w:p>
          <w:p w14:paraId="7C35A7D3" w14:textId="0BF797E9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FA4455">
              <w:rPr>
                <w:rFonts w:eastAsia="標楷體" w:hint="eastAsia"/>
              </w:rPr>
              <w:t>宋威穎</w:t>
            </w:r>
            <w:r>
              <w:rPr>
                <w:rFonts w:eastAsia="標楷體" w:hint="eastAsia"/>
              </w:rPr>
              <w:t>老師</w:t>
            </w:r>
          </w:p>
          <w:p w14:paraId="31745492" w14:textId="63FB6213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6B11E3">
              <w:rPr>
                <w:rFonts w:eastAsia="標楷體" w:hint="eastAsia"/>
                <w:u w:val="single"/>
              </w:rPr>
              <w:t>55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人（教師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6B11E3">
              <w:rPr>
                <w:rFonts w:eastAsia="標楷體" w:hint="eastAsia"/>
                <w:u w:val="single"/>
              </w:rPr>
              <w:t>48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人、學生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1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人、行政人員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1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人、校外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6B11E3">
              <w:rPr>
                <w:rFonts w:eastAsia="標楷體" w:hint="eastAsia"/>
                <w:u w:val="single"/>
              </w:rPr>
              <w:t xml:space="preserve">5 </w:t>
            </w:r>
            <w:r>
              <w:rPr>
                <w:rFonts w:eastAsia="標楷體" w:hint="eastAsia"/>
              </w:rPr>
              <w:t>人）</w:t>
            </w:r>
          </w:p>
          <w:p w14:paraId="56DD35BC" w14:textId="77777777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容：</w:t>
            </w:r>
          </w:p>
          <w:p w14:paraId="6283F968" w14:textId="77777777" w:rsidR="00FA4455" w:rsidRPr="00FA4455" w:rsidRDefault="00FA4455" w:rsidP="00FA4455">
            <w:pPr>
              <w:ind w:leftChars="10" w:left="24" w:firstLineChars="0" w:firstLine="1"/>
              <w:jc w:val="both"/>
              <w:rPr>
                <w:rFonts w:ascii="標楷體" w:eastAsia="標楷體" w:hAnsi="標楷體" w:hint="eastAsia"/>
              </w:rPr>
            </w:pPr>
            <w:r w:rsidRPr="00FA4455">
              <w:rPr>
                <w:rFonts w:ascii="標楷體" w:eastAsia="標楷體" w:hAnsi="標楷體" w:hint="eastAsia"/>
              </w:rPr>
              <w:t>本次講座深入探討USR大學社會責任（University Social Responsibility）的制度推動脈絡與成效評估機制。講者強調，USR已成為台灣高等教育發展的關鍵指標，即便在現行計畫階段結束後，其核心精神仍將延續至未來的教育政策與資源分配中，是學校永續發展不可或缺的一環。</w:t>
            </w:r>
          </w:p>
          <w:p w14:paraId="7C03EFA2" w14:textId="77777777" w:rsidR="00FA4455" w:rsidRPr="00FA4455" w:rsidRDefault="00FA4455" w:rsidP="00FA4455">
            <w:pPr>
              <w:ind w:leftChars="10" w:left="24" w:firstLineChars="0" w:firstLine="1"/>
              <w:jc w:val="both"/>
              <w:rPr>
                <w:rFonts w:ascii="標楷體" w:eastAsia="標楷體" w:hAnsi="標楷體" w:hint="eastAsia"/>
              </w:rPr>
            </w:pPr>
            <w:r w:rsidRPr="00FA4455">
              <w:rPr>
                <w:rFonts w:ascii="標楷體" w:eastAsia="標楷體" w:hAnsi="標楷體" w:hint="eastAsia"/>
              </w:rPr>
              <w:t>在教學重點與執行策略層面，講者建議採取「內生性」的發展模式。學校在推動USR時，不應</w:t>
            </w:r>
            <w:proofErr w:type="gramStart"/>
            <w:r w:rsidRPr="00FA4455">
              <w:rPr>
                <w:rFonts w:ascii="標楷體" w:eastAsia="標楷體" w:hAnsi="標楷體" w:hint="eastAsia"/>
              </w:rPr>
              <w:t>斷裂式地引入</w:t>
            </w:r>
            <w:proofErr w:type="gramEnd"/>
            <w:r w:rsidRPr="00FA4455">
              <w:rPr>
                <w:rFonts w:ascii="標楷體" w:eastAsia="標楷體" w:hAnsi="標楷體" w:hint="eastAsia"/>
              </w:rPr>
              <w:t>全新制度以免造成反彈，而應結合校內既有的評估機制（如KPI或SRS）進行連結與優化。針對成效評估，講者指出應突破單純量化指標的限制，導入跨領域的整合思維，運用SROI（社會投資報酬率）概念及利害關係人影響力分析，將量化數據與質性社會參與程度相互結合，以更全面地呈現計畫價值。</w:t>
            </w:r>
          </w:p>
          <w:p w14:paraId="14BED863" w14:textId="77777777" w:rsidR="00FA4455" w:rsidRDefault="00FA4455" w:rsidP="00FA4455">
            <w:pPr>
              <w:ind w:leftChars="10" w:left="24" w:firstLineChars="0" w:firstLine="1"/>
              <w:jc w:val="both"/>
              <w:rPr>
                <w:rFonts w:ascii="標楷體" w:eastAsia="標楷體" w:hAnsi="標楷體"/>
              </w:rPr>
            </w:pPr>
            <w:r w:rsidRPr="00FA4455">
              <w:rPr>
                <w:rFonts w:ascii="標楷體" w:eastAsia="標楷體" w:hAnsi="標楷體" w:hint="eastAsia"/>
              </w:rPr>
              <w:t>教育部預計近期將出版優良成效評估案例集，供各校作為實務導引。總結而言，USR的推動同步涉及政策引導、校務制度調整與教學現場的變革。儘管過程充滿挑戰，但對於深化高教公共性與社會實踐具有深遠意義，期</w:t>
            </w:r>
            <w:proofErr w:type="gramStart"/>
            <w:r w:rsidRPr="00FA4455">
              <w:rPr>
                <w:rFonts w:ascii="標楷體" w:eastAsia="標楷體" w:hAnsi="標楷體" w:hint="eastAsia"/>
              </w:rPr>
              <w:t>勉</w:t>
            </w:r>
            <w:proofErr w:type="gramEnd"/>
            <w:r w:rsidRPr="00FA4455">
              <w:rPr>
                <w:rFonts w:ascii="標楷體" w:eastAsia="標楷體" w:hAnsi="標楷體" w:hint="eastAsia"/>
              </w:rPr>
              <w:t>所有投入的教師持續攜手前行。</w:t>
            </w:r>
          </w:p>
          <w:p w14:paraId="15BC7CC9" w14:textId="14BC3EB8" w:rsidR="00BE4DCE" w:rsidRDefault="00BE4DCE" w:rsidP="00FA4455">
            <w:pPr>
              <w:ind w:leftChars="10" w:left="24" w:firstLineChars="0" w:firstLine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執行成效：</w:t>
            </w:r>
          </w:p>
          <w:p w14:paraId="3CD2B994" w14:textId="76B946A5" w:rsidR="00BE4DCE" w:rsidRPr="00BE4DCE" w:rsidRDefault="006B11E3" w:rsidP="00D90E24">
            <w:pPr>
              <w:ind w:leftChars="10" w:left="24" w:firstLineChars="0" w:firstLine="1"/>
              <w:jc w:val="both"/>
              <w:rPr>
                <w:rFonts w:ascii="標楷體" w:eastAsia="標楷體" w:hAnsi="標楷體"/>
              </w:rPr>
            </w:pPr>
            <w:r w:rsidRPr="006B11E3">
              <w:rPr>
                <w:rFonts w:ascii="標楷體" w:eastAsia="標楷體" w:hAnsi="標楷體" w:hint="eastAsia"/>
              </w:rPr>
              <w:t>本講座確立USR為高教永續核心。執行上</w:t>
            </w:r>
            <w:proofErr w:type="gramStart"/>
            <w:r w:rsidRPr="006B11E3">
              <w:rPr>
                <w:rFonts w:ascii="標楷體" w:eastAsia="標楷體" w:hAnsi="標楷體" w:hint="eastAsia"/>
              </w:rPr>
              <w:t>採</w:t>
            </w:r>
            <w:proofErr w:type="gramEnd"/>
            <w:r w:rsidRPr="006B11E3">
              <w:rPr>
                <w:rFonts w:ascii="標楷體" w:eastAsia="標楷體" w:hAnsi="標楷體" w:hint="eastAsia"/>
              </w:rPr>
              <w:t>「內生性」策略優化既有校務機制，降低推動阻力；評估面則導入SROI及跨領域思維，成功整合量化數據與質性社會影響力，全面呈現計畫價值。此舉不僅深化高教公共性，更有效引導教學現場變革，為未來教育政策與資源分配建立明確的實踐方向。</w:t>
            </w:r>
          </w:p>
        </w:tc>
      </w:tr>
      <w:tr w:rsidR="006B11E3" w:rsidRPr="004F456F" w14:paraId="1299D0DA" w14:textId="77777777" w:rsidTr="00D90E24">
        <w:trPr>
          <w:trHeight w:val="753"/>
          <w:jc w:val="center"/>
        </w:trPr>
        <w:tc>
          <w:tcPr>
            <w:tcW w:w="1415" w:type="dxa"/>
            <w:vMerge w:val="restart"/>
            <w:tcBorders>
              <w:left w:val="single" w:sz="12" w:space="0" w:color="auto"/>
            </w:tcBorders>
            <w:vAlign w:val="center"/>
          </w:tcPr>
          <w:p w14:paraId="0396E781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14:paraId="4F3BEEB1" w14:textId="77777777" w:rsidR="00215890" w:rsidRPr="00CD6B06" w:rsidRDefault="00215890" w:rsidP="00D90E24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lastRenderedPageBreak/>
              <w:t>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311" w:type="dxa"/>
            <w:tcBorders>
              <w:right w:val="single" w:sz="4" w:space="0" w:color="auto"/>
            </w:tcBorders>
            <w:vAlign w:val="center"/>
          </w:tcPr>
          <w:p w14:paraId="4940EA4C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活動照片電子檔名稱</w:t>
            </w:r>
          </w:p>
          <w:p w14:paraId="5A6931F6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AE87BB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活動照片內容說明(每張20字內)</w:t>
            </w:r>
          </w:p>
        </w:tc>
      </w:tr>
      <w:tr w:rsidR="006B11E3" w:rsidRPr="004F456F" w14:paraId="13CF8EAD" w14:textId="77777777" w:rsidTr="00D90E24">
        <w:trPr>
          <w:trHeight w:val="454"/>
          <w:jc w:val="center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31EDEC59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311" w:type="dxa"/>
            <w:tcBorders>
              <w:right w:val="single" w:sz="4" w:space="0" w:color="auto"/>
            </w:tcBorders>
          </w:tcPr>
          <w:p w14:paraId="0F90F22B" w14:textId="1C20139B" w:rsidR="00215890" w:rsidRPr="000A3C6D" w:rsidRDefault="006B11E3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B7532BD" wp14:editId="4F7922B2">
                  <wp:extent cx="2841703" cy="18097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290" cy="1817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</w:tcPr>
          <w:p w14:paraId="46A71B4F" w14:textId="4A2A583A" w:rsidR="00215890" w:rsidRPr="000A3C6D" w:rsidRDefault="00714792" w:rsidP="0083171C">
            <w:pPr>
              <w:ind w:leftChars="20" w:left="146" w:hangingChars="41" w:hanging="98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主持人盈宏老師</w:t>
            </w:r>
            <w:proofErr w:type="gramEnd"/>
            <w:r>
              <w:rPr>
                <w:rFonts w:ascii="標楷體" w:eastAsia="標楷體" w:hAnsi="標楷體" w:hint="eastAsia"/>
              </w:rPr>
              <w:t>介紹</w:t>
            </w:r>
            <w:r w:rsidR="006B11E3">
              <w:rPr>
                <w:rFonts w:ascii="標楷體" w:eastAsia="標楷體" w:hAnsi="標楷體" w:hint="eastAsia"/>
              </w:rPr>
              <w:t>宋</w:t>
            </w:r>
            <w:r>
              <w:rPr>
                <w:rFonts w:ascii="標楷體" w:eastAsia="標楷體" w:hAnsi="標楷體" w:hint="eastAsia"/>
              </w:rPr>
              <w:t>老師與今天的講座主題</w:t>
            </w:r>
            <w:r w:rsidR="00215890">
              <w:rPr>
                <w:rFonts w:ascii="標楷體" w:eastAsia="標楷體" w:hAnsi="標楷體" w:hint="eastAsia"/>
              </w:rPr>
              <w:t>。</w:t>
            </w:r>
          </w:p>
        </w:tc>
      </w:tr>
      <w:tr w:rsidR="006B11E3" w:rsidRPr="004F456F" w14:paraId="2A35E4E7" w14:textId="77777777" w:rsidTr="00D90E24">
        <w:trPr>
          <w:trHeight w:val="454"/>
          <w:jc w:val="center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1CA148AF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311" w:type="dxa"/>
            <w:tcBorders>
              <w:right w:val="single" w:sz="4" w:space="0" w:color="auto"/>
            </w:tcBorders>
          </w:tcPr>
          <w:p w14:paraId="726E2023" w14:textId="6AA1E72A" w:rsidR="00215890" w:rsidRPr="00060FBD" w:rsidRDefault="006B11E3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4734864D" wp14:editId="490B3EE8">
                  <wp:extent cx="2841625" cy="178044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901" cy="178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</w:tcPr>
          <w:p w14:paraId="05D3D242" w14:textId="514FC299" w:rsidR="00215890" w:rsidRPr="000A3C6D" w:rsidRDefault="006B11E3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宋</w:t>
            </w:r>
            <w:r w:rsidR="00215890">
              <w:rPr>
                <w:rFonts w:ascii="標楷體" w:eastAsia="標楷體" w:hAnsi="標楷體" w:hint="eastAsia"/>
              </w:rPr>
              <w:t>老師</w:t>
            </w:r>
            <w:r w:rsidR="00714792">
              <w:rPr>
                <w:rFonts w:ascii="標楷體" w:eastAsia="標楷體" w:hAnsi="標楷體" w:hint="eastAsia"/>
              </w:rPr>
              <w:t>介紹今天的講座主題並且說明</w:t>
            </w:r>
            <w:r>
              <w:rPr>
                <w:rFonts w:ascii="標楷體" w:eastAsia="標楷體" w:hAnsi="標楷體" w:hint="eastAsia"/>
              </w:rPr>
              <w:t>計畫主題必須掌握的目標與關鍵成果法</w:t>
            </w:r>
            <w:r w:rsidR="00215890">
              <w:rPr>
                <w:rFonts w:ascii="標楷體" w:eastAsia="標楷體" w:hAnsi="標楷體" w:hint="eastAsia"/>
              </w:rPr>
              <w:t>。</w:t>
            </w:r>
          </w:p>
        </w:tc>
      </w:tr>
      <w:tr w:rsidR="006B11E3" w:rsidRPr="004F456F" w14:paraId="3D709D3F" w14:textId="77777777" w:rsidTr="00D90E24">
        <w:trPr>
          <w:trHeight w:val="454"/>
          <w:jc w:val="center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709B2ADC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311" w:type="dxa"/>
            <w:tcBorders>
              <w:right w:val="single" w:sz="4" w:space="0" w:color="auto"/>
            </w:tcBorders>
          </w:tcPr>
          <w:p w14:paraId="0BC83BED" w14:textId="4B9D9D8F" w:rsidR="00215890" w:rsidRPr="000A3C6D" w:rsidRDefault="006B11E3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E51ABB5" wp14:editId="55661A49">
                  <wp:extent cx="2771775" cy="1799590"/>
                  <wp:effectExtent l="0" t="0" r="9525" b="0"/>
                  <wp:docPr id="7" name="圖片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40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</w:tcPr>
          <w:p w14:paraId="1BAFAC45" w14:textId="269EA311" w:rsidR="00215890" w:rsidRPr="000A3C6D" w:rsidRDefault="006B11E3" w:rsidP="00D90E24">
            <w:pPr>
              <w:ind w:left="121" w:firstLineChars="0" w:hang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宋</w:t>
            </w:r>
            <w:r w:rsidR="0021589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利用圖表詳述計畫執行架構與核心概念。</w:t>
            </w:r>
          </w:p>
        </w:tc>
      </w:tr>
      <w:tr w:rsidR="006B11E3" w:rsidRPr="004F456F" w14:paraId="0692FBFD" w14:textId="77777777" w:rsidTr="00D90E24">
        <w:trPr>
          <w:trHeight w:val="454"/>
          <w:jc w:val="center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244D4CFC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311" w:type="dxa"/>
            <w:tcBorders>
              <w:right w:val="single" w:sz="4" w:space="0" w:color="auto"/>
            </w:tcBorders>
          </w:tcPr>
          <w:p w14:paraId="448F23E2" w14:textId="4A57AB34" w:rsidR="00215890" w:rsidRPr="00060FBD" w:rsidRDefault="006B11E3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14:ligatures w14:val="standardContextual"/>
              </w:rPr>
              <w:drawing>
                <wp:inline distT="0" distB="0" distL="0" distR="0" wp14:anchorId="7A28F443" wp14:editId="7F82BBA8">
                  <wp:extent cx="2938621" cy="164782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120" cy="1650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</w:tcPr>
          <w:p w14:paraId="426061C1" w14:textId="4CB3E179" w:rsidR="00215890" w:rsidRPr="000A3C6D" w:rsidRDefault="006B11E3" w:rsidP="00D90E24">
            <w:pPr>
              <w:ind w:leftChars="20" w:left="146" w:hangingChars="41" w:hanging="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宋</w:t>
            </w:r>
            <w:r w:rsidR="00215890">
              <w:rPr>
                <w:rFonts w:ascii="標楷體" w:eastAsia="標楷體" w:hAnsi="標楷體" w:hint="eastAsia"/>
              </w:rPr>
              <w:t>老師</w:t>
            </w:r>
            <w:r w:rsidR="00714792">
              <w:rPr>
                <w:rFonts w:ascii="標楷體" w:eastAsia="標楷體" w:hAnsi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舉例執行案例說明成效評估參考指標。</w:t>
            </w:r>
          </w:p>
        </w:tc>
      </w:tr>
      <w:tr w:rsidR="00215890" w:rsidRPr="006C39E0" w14:paraId="70E78A9E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4FD9C857" w14:textId="77777777" w:rsidR="00215890" w:rsidRPr="003125AC" w:rsidRDefault="00215890" w:rsidP="00D90E24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6B11E3" w:rsidRPr="006C39E0" w14:paraId="7CCC7F89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415" w:type="dxa"/>
            <w:vMerge w:val="restart"/>
            <w:vAlign w:val="center"/>
          </w:tcPr>
          <w:p w14:paraId="7DBDC781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4311" w:type="dxa"/>
            <w:vAlign w:val="center"/>
          </w:tcPr>
          <w:p w14:paraId="749BA6A8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1255728C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4394" w:type="dxa"/>
            <w:vAlign w:val="center"/>
          </w:tcPr>
          <w:p w14:paraId="73180D8B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6B11E3" w:rsidRPr="006C39E0" w14:paraId="31BE6BFC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15" w:type="dxa"/>
            <w:vMerge/>
            <w:vAlign w:val="center"/>
          </w:tcPr>
          <w:p w14:paraId="4C459624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1" w:type="dxa"/>
            <w:vAlign w:val="center"/>
          </w:tcPr>
          <w:p w14:paraId="249DC829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Align w:val="center"/>
          </w:tcPr>
          <w:p w14:paraId="541481A5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6B11E3" w:rsidRPr="006C39E0" w14:paraId="70FBE24E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15" w:type="dxa"/>
            <w:vMerge/>
            <w:vAlign w:val="center"/>
          </w:tcPr>
          <w:p w14:paraId="7141829A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1" w:type="dxa"/>
            <w:vAlign w:val="center"/>
          </w:tcPr>
          <w:p w14:paraId="793C48E6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Align w:val="center"/>
          </w:tcPr>
          <w:p w14:paraId="18C5A29B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6B11E3" w:rsidRPr="006C39E0" w14:paraId="0B4E196C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15" w:type="dxa"/>
            <w:vMerge/>
            <w:vAlign w:val="center"/>
          </w:tcPr>
          <w:p w14:paraId="0A25CDEA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1" w:type="dxa"/>
            <w:vAlign w:val="center"/>
          </w:tcPr>
          <w:p w14:paraId="67593BFC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Align w:val="center"/>
          </w:tcPr>
          <w:p w14:paraId="655F124E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6B11E3" w:rsidRPr="006C39E0" w14:paraId="694BC643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15" w:type="dxa"/>
            <w:vMerge/>
            <w:vAlign w:val="center"/>
          </w:tcPr>
          <w:p w14:paraId="4E320AF7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1" w:type="dxa"/>
            <w:vAlign w:val="center"/>
          </w:tcPr>
          <w:p w14:paraId="70DB918D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Align w:val="center"/>
          </w:tcPr>
          <w:p w14:paraId="326BB6AD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1B01FA1E" w14:textId="77777777" w:rsidR="00215890" w:rsidRDefault="00215890" w:rsidP="00215890">
      <w:pPr>
        <w:ind w:left="360" w:hanging="240"/>
      </w:pPr>
    </w:p>
    <w:p w14:paraId="3CF59D1E" w14:textId="77777777" w:rsidR="007420BF" w:rsidRDefault="007420BF">
      <w:pPr>
        <w:ind w:left="360" w:hanging="240"/>
      </w:pPr>
    </w:p>
    <w:sectPr w:rsidR="007420BF" w:rsidSect="002158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A7AC" w14:textId="77777777" w:rsidR="00103829" w:rsidRDefault="00103829">
      <w:pPr>
        <w:ind w:left="360" w:hanging="240"/>
      </w:pPr>
      <w:r>
        <w:separator/>
      </w:r>
    </w:p>
  </w:endnote>
  <w:endnote w:type="continuationSeparator" w:id="0">
    <w:p w14:paraId="416E7ACE" w14:textId="77777777" w:rsidR="00103829" w:rsidRDefault="00103829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7609" w14:textId="77777777" w:rsidR="00215890" w:rsidRDefault="00215890" w:rsidP="006B6F70">
    <w:pPr>
      <w:pStyle w:val="af0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1108D69C" w14:textId="2DCFC236" w:rsidR="00215890" w:rsidRDefault="00215890" w:rsidP="00BD728B">
        <w:pPr>
          <w:pStyle w:val="af0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FA8" w:rsidRPr="00D11FA8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1B1DDFCA" w14:textId="77777777" w:rsidR="00215890" w:rsidRDefault="00215890" w:rsidP="006B6F70">
    <w:pPr>
      <w:pStyle w:val="af0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46E0" w14:textId="77777777" w:rsidR="00215890" w:rsidRDefault="00215890" w:rsidP="006B6F70">
    <w:pPr>
      <w:pStyle w:val="af0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0672" w14:textId="77777777" w:rsidR="00103829" w:rsidRDefault="00103829">
      <w:pPr>
        <w:ind w:left="360" w:hanging="240"/>
      </w:pPr>
      <w:r>
        <w:separator/>
      </w:r>
    </w:p>
  </w:footnote>
  <w:footnote w:type="continuationSeparator" w:id="0">
    <w:p w14:paraId="36A9E157" w14:textId="77777777" w:rsidR="00103829" w:rsidRDefault="00103829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FE89" w14:textId="77777777" w:rsidR="00215890" w:rsidRDefault="00215890" w:rsidP="006B6F70">
    <w:pPr>
      <w:pStyle w:val="ae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4C1B" w14:textId="77777777" w:rsidR="00215890" w:rsidRDefault="00215890" w:rsidP="006B6F70">
    <w:pPr>
      <w:pStyle w:val="ae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E2D0" w14:textId="77777777" w:rsidR="00215890" w:rsidRDefault="00215890" w:rsidP="006B6F70">
    <w:pPr>
      <w:pStyle w:val="ae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90"/>
    <w:rsid w:val="00060FBD"/>
    <w:rsid w:val="00103829"/>
    <w:rsid w:val="0015041C"/>
    <w:rsid w:val="00161737"/>
    <w:rsid w:val="001E097D"/>
    <w:rsid w:val="00215890"/>
    <w:rsid w:val="002B2142"/>
    <w:rsid w:val="00333AD3"/>
    <w:rsid w:val="004103D5"/>
    <w:rsid w:val="00501E7D"/>
    <w:rsid w:val="006B11E3"/>
    <w:rsid w:val="00714792"/>
    <w:rsid w:val="007420BF"/>
    <w:rsid w:val="0083171C"/>
    <w:rsid w:val="008E3699"/>
    <w:rsid w:val="00905D6E"/>
    <w:rsid w:val="00907D67"/>
    <w:rsid w:val="009C1EAF"/>
    <w:rsid w:val="00A93C66"/>
    <w:rsid w:val="00BA7F4B"/>
    <w:rsid w:val="00BB7D8E"/>
    <w:rsid w:val="00BE4DCE"/>
    <w:rsid w:val="00C15179"/>
    <w:rsid w:val="00D11FA8"/>
    <w:rsid w:val="00DF11A4"/>
    <w:rsid w:val="00F30EB0"/>
    <w:rsid w:val="00FA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F4BC"/>
  <w15:chartTrackingRefBased/>
  <w15:docId w15:val="{11F45802-218A-5C4D-86A1-B03173E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890"/>
    <w:pPr>
      <w:widowControl w:val="0"/>
      <w:ind w:leftChars="50" w:left="150" w:hangingChars="100" w:hanging="10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5890"/>
    <w:pPr>
      <w:keepNext/>
      <w:keepLines/>
      <w:widowControl/>
      <w:spacing w:before="480" w:after="80"/>
      <w:ind w:leftChars="0" w:left="0"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890"/>
    <w:pPr>
      <w:keepNext/>
      <w:keepLines/>
      <w:widowControl/>
      <w:spacing w:before="160" w:after="80"/>
      <w:ind w:leftChars="0" w:left="0"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890"/>
    <w:pPr>
      <w:keepNext/>
      <w:keepLines/>
      <w:widowControl/>
      <w:spacing w:before="160" w:after="40"/>
      <w:ind w:leftChars="0" w:left="0" w:firstLineChars="0" w:firstLine="0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890"/>
    <w:pPr>
      <w:keepNext/>
      <w:keepLines/>
      <w:widowControl/>
      <w:spacing w:before="160" w:after="40"/>
      <w:ind w:leftChars="0" w:left="0" w:firstLineChars="0" w:firstLine="0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890"/>
    <w:pPr>
      <w:keepNext/>
      <w:keepLines/>
      <w:widowControl/>
      <w:spacing w:before="80" w:after="40"/>
      <w:ind w:leftChars="0" w:left="0" w:firstLineChars="0" w:firstLine="0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890"/>
    <w:pPr>
      <w:keepNext/>
      <w:keepLines/>
      <w:widowControl/>
      <w:spacing w:before="40"/>
      <w:ind w:leftChars="0" w:left="0" w:firstLineChars="0" w:firstLine="0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890"/>
    <w:pPr>
      <w:keepNext/>
      <w:keepLines/>
      <w:widowControl/>
      <w:spacing w:before="40"/>
      <w:ind w:leftChars="100" w:left="100" w:firstLineChars="0" w:firstLine="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890"/>
    <w:pPr>
      <w:keepNext/>
      <w:keepLines/>
      <w:widowControl/>
      <w:spacing w:before="40"/>
      <w:ind w:leftChars="200" w:left="200" w:firstLineChars="0" w:firstLine="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890"/>
    <w:pPr>
      <w:keepNext/>
      <w:keepLines/>
      <w:widowControl/>
      <w:spacing w:before="40"/>
      <w:ind w:leftChars="300" w:left="300" w:firstLineChars="0" w:firstLine="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158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15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1589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15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1589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1589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1589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1589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158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890"/>
    <w:pPr>
      <w:widowControl/>
      <w:spacing w:after="80"/>
      <w:ind w:leftChars="0" w:left="0"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1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890"/>
    <w:pPr>
      <w:widowControl/>
      <w:numPr>
        <w:ilvl w:val="1"/>
      </w:numPr>
      <w:spacing w:after="160"/>
      <w:ind w:leftChars="50" w:left="150" w:hangingChars="100" w:hanging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15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890"/>
    <w:pPr>
      <w:widowControl/>
      <w:spacing w:before="160" w:after="160"/>
      <w:ind w:leftChars="0" w:left="0" w:firstLineChars="0" w:firstLine="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15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890"/>
    <w:pPr>
      <w:widowControl/>
      <w:ind w:leftChars="0" w:left="720" w:firstLineChars="0" w:firstLine="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158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8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Chars="0" w:left="864" w:right="864" w:firstLineChars="0" w:firstLine="0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158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589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215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semiHidden/>
    <w:rsid w:val="00215890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215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15890"/>
    <w:rPr>
      <w:sz w:val="20"/>
      <w:szCs w:val="20"/>
      <w14:ligatures w14:val="none"/>
    </w:rPr>
  </w:style>
  <w:style w:type="paragraph" w:styleId="Web">
    <w:name w:val="Normal (Web)"/>
    <w:basedOn w:val="a"/>
    <w:uiPriority w:val="99"/>
    <w:semiHidden/>
    <w:unhideWhenUsed/>
    <w:rsid w:val="00BE4DCE"/>
    <w:pPr>
      <w:widowControl/>
      <w:spacing w:before="100" w:beforeAutospacing="1" w:after="100" w:afterAutospacing="1"/>
      <w:ind w:leftChars="0" w:left="0" w:firstLineChars="0" w:firstLine="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王芷育</dc:creator>
  <cp:keywords/>
  <dc:description/>
  <cp:lastModifiedBy>new_acct</cp:lastModifiedBy>
  <cp:revision>3</cp:revision>
  <dcterms:created xsi:type="dcterms:W3CDTF">2025-11-18T02:24:00Z</dcterms:created>
  <dcterms:modified xsi:type="dcterms:W3CDTF">2025-12-11T01:25:00Z</dcterms:modified>
</cp:coreProperties>
</file>