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before="100" w:line="400" w:lineRule="auto"/>
        <w:jc w:val="center"/>
        <w:rPr>
          <w:rFonts w:ascii="DFKai-SB" w:cs="DFKai-SB" w:eastAsia="DFKai-SB" w:hAnsi="DFKai-SB"/>
          <w:sz w:val="36"/>
          <w:szCs w:val="36"/>
        </w:rPr>
      </w:pPr>
      <w:r w:rsidDel="00000000" w:rsidR="00000000" w:rsidRPr="00000000">
        <w:rPr>
          <w:rFonts w:ascii="DFKai-SB" w:cs="DFKai-SB" w:eastAsia="DFKai-SB" w:hAnsi="DFKai-SB"/>
          <w:sz w:val="36"/>
          <w:szCs w:val="36"/>
          <w:rtl w:val="0"/>
        </w:rPr>
        <w:t xml:space="preserve">中國文化大學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rFonts w:ascii="DFKai-SB" w:cs="DFKai-SB" w:eastAsia="DFKai-SB" w:hAnsi="DFKai-SB"/>
          <w:color w:val="ff0000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color w:val="ff0000"/>
          <w:sz w:val="28"/>
          <w:szCs w:val="28"/>
          <w:rtl w:val="0"/>
        </w:rPr>
        <w:t xml:space="preserve">綠色未來跨域課程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rFonts w:ascii="DFKai-SB" w:cs="DFKai-SB" w:eastAsia="DFKai-SB" w:hAnsi="DFKai-SB"/>
          <w:sz w:val="28"/>
          <w:szCs w:val="28"/>
        </w:rPr>
      </w:pPr>
      <w:r w:rsidDel="00000000" w:rsidR="00000000" w:rsidRPr="00000000">
        <w:rPr>
          <w:rFonts w:ascii="DFKai-SB" w:cs="DFKai-SB" w:eastAsia="DFKai-SB" w:hAnsi="DFKai-SB"/>
          <w:sz w:val="28"/>
          <w:szCs w:val="28"/>
          <w:rtl w:val="0"/>
        </w:rPr>
        <w:t xml:space="preserve">課程紀錄</w:t>
      </w:r>
    </w:p>
    <w:tbl>
      <w:tblPr>
        <w:tblStyle w:val="Table1"/>
        <w:tblW w:w="10364.0" w:type="dxa"/>
        <w:jc w:val="center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400"/>
      </w:tblPr>
      <w:tblGrid>
        <w:gridCol w:w="348"/>
        <w:gridCol w:w="1739"/>
        <w:gridCol w:w="3521"/>
        <w:gridCol w:w="4756"/>
        <w:tblGridChange w:id="0">
          <w:tblGrid>
            <w:gridCol w:w="348"/>
            <w:gridCol w:w="1739"/>
            <w:gridCol w:w="3521"/>
            <w:gridCol w:w="4756"/>
          </w:tblGrid>
        </w:tblGridChange>
      </w:tblGrid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承辦院所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社科院行管系</w:t>
            </w:r>
          </w:p>
        </w:tc>
      </w:tr>
      <w:tr>
        <w:trPr>
          <w:cantSplit w:val="0"/>
          <w:trHeight w:val="428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上課日期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115年3月27日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時間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星期五上午9:10-13:00，下午14:10—16:00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地點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中國文化大學大義421</w:t>
            </w:r>
          </w:p>
        </w:tc>
      </w:tr>
      <w:tr>
        <w:trPr>
          <w:cantSplit w:val="0"/>
          <w:trHeight w:val="383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上課老師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6"/>
                <w:szCs w:val="26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歐美語文學系 張禮文老師  講師:蔡雅琦老師</w:t>
            </w:r>
          </w:p>
        </w:tc>
      </w:tr>
      <w:tr>
        <w:trPr>
          <w:cantSplit w:val="0"/>
          <w:trHeight w:val="386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講題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widowControl w:val="0"/>
              <w:spacing w:line="400" w:lineRule="auto"/>
              <w:jc w:val="both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Line貼圖角色創作與被動收入</w:t>
            </w:r>
          </w:p>
        </w:tc>
      </w:tr>
      <w:tr>
        <w:trPr>
          <w:cantSplit w:val="0"/>
          <w:trHeight w:val="2932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widowControl w:val="0"/>
              <w:spacing w:line="40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6"/>
                <w:szCs w:val="26"/>
                <w:rtl w:val="0"/>
              </w:rPr>
              <w:t xml:space="preserve">活動內容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tabs>
                <w:tab w:val="left" w:leader="none" w:pos="720"/>
                <w:tab w:val="left" w:leader="none" w:pos="1440"/>
                <w:tab w:val="left" w:leader="none" w:pos="2160"/>
                <w:tab w:val="left" w:leader="none" w:pos="2880"/>
                <w:tab w:val="left" w:leader="none" w:pos="3600"/>
                <w:tab w:val="left" w:leader="none" w:pos="4320"/>
                <w:tab w:val="left" w:leader="none" w:pos="5040"/>
                <w:tab w:val="left" w:leader="none" w:pos="5760"/>
                <w:tab w:val="left" w:leader="none" w:pos="6480"/>
                <w:tab w:val="left" w:leader="none" w:pos="7200"/>
                <w:tab w:val="left" w:leader="none" w:pos="7920"/>
              </w:tabs>
              <w:spacing w:after="240" w:before="240" w:line="288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本次課程以「LINE貼圖創作與被動收入實踐」為核心，從商業模式出發切入貼圖市場，帶領學生理解貼圖經濟與分潤機制，建立基礎概念。實作階段則結合設計思考，引導學生發展可應用於淡水低碳旅遊推廣之角色與貼圖，將創意與情緒轉化為具辨識度的角色原型，同時掌握去背規格、平台上架規範及審核要點，確保作品符合市場標準。課程中完成學習單與貼圖初步設計，惟因時間限制，角色細節與故事延伸改由課後完成，並須進一步申請LINE上架，待審核通過後於群組分享成果，以達成學習轉化與實務應用之目標。</w:t>
            </w:r>
          </w:p>
        </w:tc>
      </w:tr>
      <w:tr>
        <w:trPr>
          <w:cantSplit w:val="0"/>
          <w:trHeight w:val="4477" w:hRule="atLeast"/>
          <w:tblHeader w:val="0"/>
        </w:trPr>
        <w:tc>
          <w:tcPr>
            <w:vMerge w:val="restart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活</w:t>
            </w:r>
          </w:p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動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照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片</w:t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3248025" cy="2451100"/>
                  <wp:effectExtent b="0" l="0" r="0" t="0"/>
                  <wp:docPr id="4" name="image1.jpg"/>
                  <a:graphic>
                    <a:graphicData uri="http://schemas.openxmlformats.org/drawingml/2006/picture">
                      <pic:pic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8025" cy="2451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before="160"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</w:rPr>
              <w:drawing>
                <wp:inline distB="114300" distT="114300" distL="114300" distR="114300">
                  <wp:extent cx="2924175" cy="2197100"/>
                  <wp:effectExtent b="0" l="0" r="0" t="0"/>
                  <wp:docPr id="6" name="image2.jpg"/>
                  <a:graphic>
                    <a:graphicData uri="http://schemas.openxmlformats.org/drawingml/2006/picture">
                      <pic:pic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4175" cy="219710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11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學生實作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widowControl w:val="0"/>
              <w:spacing w:line="240" w:lineRule="auto"/>
              <w:jc w:val="center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Fonts w:ascii="DFKai-SB" w:cs="DFKai-SB" w:eastAsia="DFKai-SB" w:hAnsi="DFKai-SB"/>
                <w:sz w:val="24"/>
                <w:szCs w:val="24"/>
                <w:rtl w:val="0"/>
              </w:rPr>
              <w:t xml:space="preserve">講師講解</w:t>
            </w:r>
          </w:p>
        </w:tc>
      </w:tr>
      <w:tr>
        <w:trPr>
          <w:cantSplit w:val="0"/>
          <w:trHeight w:val="6015" w:hRule="atLeast"/>
          <w:tblHeader w:val="0"/>
        </w:trPr>
        <w:tc>
          <w:tcPr>
            <w:vMerge w:val="continue"/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tabs>
                <w:tab w:val="right" w:leader="none" w:pos="9020"/>
              </w:tabs>
              <w:spacing w:line="240" w:lineRule="auto"/>
              <w:jc w:val="center"/>
              <w:rPr>
                <w:rFonts w:ascii="PingFang TC Regular" w:cs="PingFang TC Regular" w:eastAsia="PingFang TC Regular" w:hAnsi="PingFang TC Regular"/>
                <w:sz w:val="24"/>
                <w:szCs w:val="24"/>
              </w:rPr>
            </w:pPr>
            <w:r w:rsidDel="00000000" w:rsidR="00000000" w:rsidRPr="00000000">
              <w:rPr>
                <w:rFonts w:ascii="PingFang TC Regular" w:cs="PingFang TC Regular" w:eastAsia="PingFang TC Regular" w:hAnsi="PingFang TC Regular"/>
                <w:sz w:val="24"/>
                <w:szCs w:val="24"/>
              </w:rPr>
              <w:drawing>
                <wp:inline distB="114300" distT="114300" distL="114300" distR="114300">
                  <wp:extent cx="3149116" cy="4376738"/>
                  <wp:effectExtent b="0" l="0" r="0" t="0"/>
                  <wp:docPr id="5" name="image3.png"/>
                  <a:graphic>
                    <a:graphicData uri="http://schemas.openxmlformats.org/drawingml/2006/picture">
                      <pic:pic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9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49116" cy="437673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before="160" w:line="240" w:lineRule="auto"/>
              <w:rPr>
                <w:rFonts w:ascii="DFKai-SB" w:cs="DFKai-SB" w:eastAsia="DFKai-SB" w:hAnsi="DFKai-SB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line="240" w:lineRule="auto"/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DFKai-SB"/>
  <w:font w:name="PingFang TC Regular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zh_TW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NMefJXtksokxUjlp66QCDkFfH4A==">CgMxLjA4AHIhMW0zbnVaV1ltTkY1d3pQQk5lYXdiT0hxQzY5LWJjaWlN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